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77"/>
        <w:gridCol w:w="5169"/>
        <w:gridCol w:w="160"/>
        <w:gridCol w:w="85"/>
        <w:gridCol w:w="406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2133310" w:rsidR="009542F1" w:rsidRDefault="009542F1"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4028623" w:rsidR="00093CA9" w:rsidRDefault="00CD0634" w:rsidP="00093CA9">
            <w:r w:rsidRPr="00CD0634">
              <w:t xml:space="preserve">“Harit Nauka” - Green Transition Guidelines for Inland Vessels, </w:t>
            </w:r>
            <w:r w:rsidR="004E3529">
              <w:t>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94FAA7E" w:rsidR="00093CA9" w:rsidRDefault="00E22E72" w:rsidP="00093CA9">
            <w:hyperlink r:id="rId17" w:history="1">
              <w:r w:rsidRPr="000866DD">
                <w:rPr>
                  <w:rStyle w:val="Hyperlink"/>
                </w:rPr>
                <w:t>https://web.archive.org/web/20250708122832/https://shipmin.gov.in/sites/default/files/harit.pdf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2B5D7DA" w:rsidR="00093CA9" w:rsidRDefault="00CD063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63F351F" w:rsidR="00093CA9" w:rsidRDefault="00446AF2" w:rsidP="007D09F2">
            <w:pPr>
              <w:jc w:val="both"/>
            </w:pPr>
            <w:r w:rsidRPr="00BD2EAE">
              <w:t>“Harit Nauka – Green Transition Guidelines for Inland Vessels” is a policy guideline issued by the Ministry of Ports, Shipping and Waterways (</w:t>
            </w:r>
            <w:proofErr w:type="spellStart"/>
            <w:r w:rsidRPr="00BD2EAE">
              <w:t>MoPSW</w:t>
            </w:r>
            <w:proofErr w:type="spellEnd"/>
            <w:r w:rsidRPr="00BD2EAE">
              <w:t xml:space="preserve">) of India. It </w:t>
            </w:r>
            <w:r w:rsidR="00E53850" w:rsidRPr="00BD2EAE">
              <w:t>outlines</w:t>
            </w:r>
            <w:r w:rsidR="00997B2D" w:rsidRPr="00BD2EAE">
              <w:t xml:space="preserve"> </w:t>
            </w:r>
            <w:r w:rsidRPr="00BD2EAE">
              <w:t xml:space="preserve">the Central Government’s </w:t>
            </w:r>
            <w:r w:rsidR="00997B2D" w:rsidRPr="00BD2EAE">
              <w:t xml:space="preserve">strategic </w:t>
            </w:r>
            <w:r w:rsidRPr="00BD2EAE">
              <w:t xml:space="preserve">intent and </w:t>
            </w:r>
            <w:r w:rsidR="00997B2D" w:rsidRPr="00BD2EAE">
              <w:t>implementation</w:t>
            </w:r>
            <w:r w:rsidRPr="00BD2EAE">
              <w:t xml:space="preserve"> framework</w:t>
            </w:r>
            <w:r w:rsidR="00F86A87" w:rsidRPr="00BD2EAE">
              <w:t xml:space="preserve"> for transitioning</w:t>
            </w:r>
            <w:r w:rsidRPr="00BD2EAE">
              <w:t xml:space="preserve"> India’s inland vessels from conventional diesel fuel to </w:t>
            </w:r>
            <w:r w:rsidR="0052262B" w:rsidRPr="00BD2EAE">
              <w:t xml:space="preserve">clean </w:t>
            </w:r>
            <w:r w:rsidRPr="00BD2EAE">
              <w:t xml:space="preserve">alternative fuels (e.g. LNG/CNG, electricity, green hydrogen, methanol). The Guidelines </w:t>
            </w:r>
            <w:r w:rsidR="0052262B" w:rsidRPr="00BD2EAE">
              <w:t xml:space="preserve">aim to </w:t>
            </w:r>
            <w:r w:rsidR="0081267C" w:rsidRPr="00BD2EAE">
              <w:t xml:space="preserve">establish a robust </w:t>
            </w:r>
            <w:r w:rsidRPr="00BD2EAE">
              <w:t>ecosystem</w:t>
            </w:r>
            <w:r w:rsidR="00074BD6" w:rsidRPr="00BD2EAE">
              <w:t xml:space="preserve"> for the design</w:t>
            </w:r>
            <w:r w:rsidR="0090242A" w:rsidRPr="00BD2EAE">
              <w:t>, operation, maintenance, and fuelling</w:t>
            </w:r>
            <w:r w:rsidRPr="00BD2EAE">
              <w:t xml:space="preserve"> </w:t>
            </w:r>
            <w:r w:rsidR="0090242A" w:rsidRPr="00BD2EAE">
              <w:t xml:space="preserve">of </w:t>
            </w:r>
            <w:r w:rsidRPr="00BD2EAE">
              <w:t>new and retrofitted “Green Vessels,” as part of India’s broader maritime decarbonization agenda.</w:t>
            </w:r>
            <w:r w:rsidR="0090242A" w:rsidRPr="00BD2EAE">
              <w:t xml:space="preserve"> T</w:t>
            </w:r>
            <w:r w:rsidRPr="00BD2EAE">
              <w:t xml:space="preserve">he government </w:t>
            </w:r>
            <w:r w:rsidR="0090242A" w:rsidRPr="00BD2EAE">
              <w:t xml:space="preserve">targets </w:t>
            </w:r>
            <w:r w:rsidRPr="00BD2EAE">
              <w:t>a complete transition to Green Vessels by 2047, marking 100% adoption of clean-fuel inland ships by that year</w:t>
            </w:r>
            <w:r w:rsidR="00BD2EAE" w:rsidRPr="00BD2EAE">
              <w:t xml:space="preserve">, in line </w:t>
            </w:r>
            <w:r w:rsidRPr="00BD2EAE">
              <w:t>with India’s climate commitments and the Maritime “Amrit Kaal” Vision 2047 for a sustainable maritime sector.</w:t>
            </w:r>
            <w:r w:rsidRPr="00446AF2">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F14CD14" w:rsidR="00093CA9" w:rsidRDefault="004339F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EA63AFE" w:rsidR="00093CA9" w:rsidRPr="00173D7C" w:rsidRDefault="00A3628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2E27DCC1" w:rsidR="00093CA9" w:rsidRPr="00173D7C" w:rsidRDefault="00BD2EAE" w:rsidP="00093CA9">
            <w:pPr>
              <w:rPr>
                <w:color w:val="000000" w:themeColor="text1"/>
              </w:rPr>
            </w:pPr>
            <w:r>
              <w:rPr>
                <w:color w:val="000000" w:themeColor="text1"/>
              </w:rPr>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6A9A3BB8" w:rsidR="00093CA9" w:rsidRPr="00587FAE" w:rsidRDefault="00BD2EAE" w:rsidP="00093CA9">
            <w:pPr>
              <w:rPr>
                <w:color w:val="000000" w:themeColor="text1"/>
              </w:rPr>
            </w:pPr>
            <w:r>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20C18E9" w:rsidR="00093CA9" w:rsidRPr="007419BF" w:rsidRDefault="00BD2EAE" w:rsidP="00093CA9">
            <w:pPr>
              <w:rPr>
                <w:color w:val="000000" w:themeColor="text1"/>
              </w:rPr>
            </w:pPr>
            <w:r>
              <w:rPr>
                <w:color w:val="000000" w:themeColor="text1"/>
              </w:rPr>
              <w: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1E5B203" w:rsidR="00093CA9" w:rsidRDefault="00784927"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FBD5400" w:rsidR="00093CA9" w:rsidRPr="006B7B0D" w:rsidRDefault="00784927" w:rsidP="00EA2BBB">
            <w:pPr>
              <w:jc w:val="both"/>
            </w:pPr>
            <w:r>
              <w:t>Ministry of Port, Shipping and Waterways, 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F52708E" w:rsidR="00093CA9" w:rsidRPr="006B7B0D" w:rsidRDefault="00093CA9" w:rsidP="00EA2BBB">
            <w:pPr>
              <w:jc w:val="both"/>
            </w:pP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CCC9F86" w:rsidR="00093CA9" w:rsidRPr="00EA2BBB" w:rsidRDefault="006753AF" w:rsidP="00EA2BBB">
            <w:pPr>
              <w:jc w:val="both"/>
              <w:rPr>
                <w:lang w:val="en-IN"/>
              </w:rPr>
            </w:pPr>
            <w:r>
              <w:rPr>
                <w:lang w:val="en-IN"/>
              </w:rPr>
              <w:t>X</w:t>
            </w:r>
            <w:r w:rsidR="00BF4596" w:rsidRPr="00BF4596">
              <w:rPr>
                <w:lang w:val="en-IN"/>
              </w:rPr>
              <w:t xml:space="preserve"> </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0BA6A2C" w:rsidR="00093CA9" w:rsidRPr="006B7B0D" w:rsidRDefault="008408CC" w:rsidP="00093CA9">
            <w: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57A6F64" w14:textId="4108DAD9" w:rsidR="006753AF" w:rsidRPr="00BF4596" w:rsidRDefault="006753AF" w:rsidP="006753AF">
            <w:pPr>
              <w:jc w:val="both"/>
              <w:rPr>
                <w:lang w:val="en-IN"/>
              </w:rPr>
            </w:pPr>
            <w:r w:rsidRPr="00BF4596">
              <w:rPr>
                <w:lang w:val="en-IN"/>
              </w:rPr>
              <w:t>The Guidelines were formulated and issued by the Ministry of Ports, Shipping and Waterways (</w:t>
            </w:r>
            <w:proofErr w:type="spellStart"/>
            <w:r w:rsidRPr="00BF4596">
              <w:rPr>
                <w:lang w:val="en-IN"/>
              </w:rPr>
              <w:t>MoPSW</w:t>
            </w:r>
            <w:proofErr w:type="spellEnd"/>
            <w:r w:rsidRPr="00BF4596">
              <w:rPr>
                <w:lang w:val="en-IN"/>
              </w:rPr>
              <w:t>), the nodal authority of the Central Government responsible for their implementation. The policy emphasises a multi-level governance approach: Central and State Government agencies involved in inland water transport are instructed to designate appropriate departments to discharge the roles and responsibilities under the Guidelines.</w:t>
            </w:r>
          </w:p>
          <w:p w14:paraId="42D06D03" w14:textId="05101863" w:rsidR="00093CA9" w:rsidRDefault="006753AF" w:rsidP="006753AF">
            <w:pPr>
              <w:jc w:val="both"/>
            </w:pPr>
            <w:r w:rsidRPr="00BF4596">
              <w:rPr>
                <w:lang w:val="en-IN"/>
              </w:rPr>
              <w:t xml:space="preserve">In essence, </w:t>
            </w:r>
            <w:proofErr w:type="spellStart"/>
            <w:r w:rsidRPr="00BF4596">
              <w:rPr>
                <w:lang w:val="en-IN"/>
              </w:rPr>
              <w:t>MoPSW</w:t>
            </w:r>
            <w:proofErr w:type="spellEnd"/>
            <w:r w:rsidRPr="00BF4596">
              <w:rPr>
                <w:lang w:val="en-IN"/>
              </w:rPr>
              <w:t xml:space="preserve"> retains strategic oversight, while State Inland Water Transport Departments, Maritime Boards, and the Inland Waterways Authority of India (IWAI) are tasked with operational implementation and compliance coordination.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4B290DB" w:rsidR="00093CA9" w:rsidRDefault="00A050E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1FBFEA19" w14:textId="5ACC2968" w:rsidR="003C4C37" w:rsidRDefault="001844F5">
            <w:pPr>
              <w:keepNext/>
              <w:jc w:val="both"/>
              <w:rPr>
                <w:color w:val="000000" w:themeColor="text1"/>
              </w:rPr>
            </w:pPr>
            <w:r w:rsidRPr="001844F5">
              <w:rPr>
                <w:color w:val="000000" w:themeColor="text1"/>
              </w:rPr>
              <w:t>The Harit Nauka Guidelines establish a framework for</w:t>
            </w:r>
            <w:r w:rsidR="00731AE2">
              <w:rPr>
                <w:color w:val="000000" w:themeColor="text1"/>
              </w:rPr>
              <w:t xml:space="preserve"> oversight and</w:t>
            </w:r>
            <w:r w:rsidRPr="001844F5">
              <w:rPr>
                <w:color w:val="000000" w:themeColor="text1"/>
              </w:rPr>
              <w:t xml:space="preserve"> implementation </w:t>
            </w:r>
            <w:r w:rsidR="0098403D">
              <w:rPr>
                <w:color w:val="000000" w:themeColor="text1"/>
              </w:rPr>
              <w:t xml:space="preserve">through </w:t>
            </w:r>
            <w:r w:rsidRPr="001844F5">
              <w:rPr>
                <w:color w:val="000000" w:themeColor="text1"/>
              </w:rPr>
              <w:t xml:space="preserve">designated Central and State authorities. </w:t>
            </w:r>
            <w:r w:rsidR="0098403D">
              <w:rPr>
                <w:color w:val="000000" w:themeColor="text1"/>
              </w:rPr>
              <w:t xml:space="preserve">Section </w:t>
            </w:r>
            <w:r w:rsidRPr="001844F5">
              <w:rPr>
                <w:color w:val="000000" w:themeColor="text1"/>
              </w:rPr>
              <w:t xml:space="preserve">7 </w:t>
            </w:r>
            <w:r w:rsidR="00144528">
              <w:rPr>
                <w:color w:val="000000" w:themeColor="text1"/>
              </w:rPr>
              <w:t xml:space="preserve">delineates </w:t>
            </w:r>
            <w:r w:rsidRPr="001844F5">
              <w:rPr>
                <w:color w:val="000000" w:themeColor="text1"/>
              </w:rPr>
              <w:t xml:space="preserve">the </w:t>
            </w:r>
            <w:r w:rsidR="00144528">
              <w:rPr>
                <w:color w:val="000000" w:themeColor="text1"/>
              </w:rPr>
              <w:t xml:space="preserve">roles and </w:t>
            </w:r>
            <w:r w:rsidRPr="001844F5">
              <w:rPr>
                <w:color w:val="000000" w:themeColor="text1"/>
              </w:rPr>
              <w:t>responsibilities of these entities</w:t>
            </w:r>
            <w:r w:rsidR="00144528">
              <w:rPr>
                <w:color w:val="000000" w:themeColor="text1"/>
              </w:rPr>
              <w:t>, including</w:t>
            </w:r>
            <w:r w:rsidRPr="001844F5">
              <w:rPr>
                <w:color w:val="000000" w:themeColor="text1"/>
              </w:rPr>
              <w:t xml:space="preserve"> ensuring compliance, facilitating the </w:t>
            </w:r>
            <w:r w:rsidR="007B4BE5">
              <w:rPr>
                <w:color w:val="000000" w:themeColor="text1"/>
              </w:rPr>
              <w:t xml:space="preserve">fuel </w:t>
            </w:r>
            <w:r w:rsidRPr="001844F5">
              <w:rPr>
                <w:color w:val="000000" w:themeColor="text1"/>
              </w:rPr>
              <w:t xml:space="preserve">transition, and enabling </w:t>
            </w:r>
            <w:r w:rsidR="00787ABB">
              <w:rPr>
                <w:color w:val="000000" w:themeColor="text1"/>
              </w:rPr>
              <w:t xml:space="preserve">necessary </w:t>
            </w:r>
            <w:r w:rsidRPr="001844F5">
              <w:rPr>
                <w:color w:val="000000" w:themeColor="text1"/>
              </w:rPr>
              <w:t xml:space="preserve">support systems. </w:t>
            </w:r>
            <w:r w:rsidR="00D3349D">
              <w:rPr>
                <w:color w:val="000000" w:themeColor="text1"/>
              </w:rPr>
              <w:t>Further</w:t>
            </w:r>
            <w:r w:rsidRPr="001844F5">
              <w:rPr>
                <w:color w:val="000000" w:themeColor="text1"/>
              </w:rPr>
              <w:t xml:space="preserve">, </w:t>
            </w:r>
            <w:r w:rsidR="00D3349D">
              <w:rPr>
                <w:color w:val="000000" w:themeColor="text1"/>
              </w:rPr>
              <w:t xml:space="preserve">Section </w:t>
            </w:r>
            <w:r w:rsidRPr="001844F5">
              <w:rPr>
                <w:color w:val="000000" w:themeColor="text1"/>
              </w:rPr>
              <w:t xml:space="preserve">10 </w:t>
            </w:r>
            <w:r w:rsidR="00D3349D">
              <w:rPr>
                <w:color w:val="000000" w:themeColor="text1"/>
              </w:rPr>
              <w:t xml:space="preserve">provides </w:t>
            </w:r>
            <w:r w:rsidRPr="001844F5">
              <w:rPr>
                <w:color w:val="000000" w:themeColor="text1"/>
              </w:rPr>
              <w:t xml:space="preserve">for </w:t>
            </w:r>
            <w:r w:rsidR="0083739E">
              <w:rPr>
                <w:color w:val="000000" w:themeColor="text1"/>
              </w:rPr>
              <w:t xml:space="preserve">the </w:t>
            </w:r>
            <w:r w:rsidRPr="001844F5">
              <w:rPr>
                <w:color w:val="000000" w:themeColor="text1"/>
              </w:rPr>
              <w:t xml:space="preserve">periodic review </w:t>
            </w:r>
            <w:r w:rsidR="0083739E">
              <w:rPr>
                <w:color w:val="000000" w:themeColor="text1"/>
              </w:rPr>
              <w:t xml:space="preserve">and revision </w:t>
            </w:r>
            <w:r w:rsidRPr="001844F5">
              <w:rPr>
                <w:color w:val="000000" w:themeColor="text1"/>
              </w:rPr>
              <w:t xml:space="preserve">of the Guidelines. </w:t>
            </w:r>
          </w:p>
          <w:p w14:paraId="2C2128DB" w14:textId="6160F341" w:rsidR="00093CA9" w:rsidRPr="008017F9" w:rsidRDefault="001844F5" w:rsidP="00EA2BBB">
            <w:pPr>
              <w:keepNext/>
              <w:jc w:val="both"/>
              <w:rPr>
                <w:color w:val="000000" w:themeColor="text1"/>
              </w:rPr>
            </w:pPr>
            <w:r w:rsidRPr="001844F5">
              <w:rPr>
                <w:color w:val="000000" w:themeColor="text1"/>
              </w:rPr>
              <w:t xml:space="preserve">While </w:t>
            </w:r>
            <w:r w:rsidR="003C4C37">
              <w:rPr>
                <w:color w:val="000000" w:themeColor="text1"/>
              </w:rPr>
              <w:t xml:space="preserve">the framework does not mandate </w:t>
            </w:r>
            <w:r w:rsidRPr="001844F5">
              <w:rPr>
                <w:color w:val="000000" w:themeColor="text1"/>
              </w:rPr>
              <w:t xml:space="preserve">public dashboards or reporting </w:t>
            </w:r>
            <w:r w:rsidR="0027429B">
              <w:rPr>
                <w:color w:val="000000" w:themeColor="text1"/>
              </w:rPr>
              <w:t>mechanisms</w:t>
            </w:r>
            <w:r w:rsidRPr="001844F5">
              <w:rPr>
                <w:color w:val="000000" w:themeColor="text1"/>
              </w:rPr>
              <w:t xml:space="preserve">, </w:t>
            </w:r>
            <w:r w:rsidR="0027429B">
              <w:rPr>
                <w:color w:val="000000" w:themeColor="text1"/>
              </w:rPr>
              <w:t xml:space="preserve">it envisions ongoing monitoring and adaptive updates to </w:t>
            </w:r>
            <w:r w:rsidR="001F3CB6">
              <w:rPr>
                <w:color w:val="000000" w:themeColor="text1"/>
              </w:rPr>
              <w:t xml:space="preserve">support </w:t>
            </w:r>
            <w:r w:rsidR="0013425C">
              <w:rPr>
                <w:color w:val="000000" w:themeColor="text1"/>
              </w:rPr>
              <w:t xml:space="preserve">execution </w:t>
            </w:r>
            <w:r w:rsidR="001F3CB6">
              <w:rPr>
                <w:color w:val="000000" w:themeColor="text1"/>
              </w:rPr>
              <w:t>over</w:t>
            </w:r>
            <w:r w:rsidR="0013425C">
              <w:rPr>
                <w:color w:val="000000" w:themeColor="text1"/>
              </w:rPr>
              <w:t xml:space="preserve"> time.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70352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E80B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rsidRPr="00D417D4">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744"/>
        <w:gridCol w:w="4087"/>
        <w:gridCol w:w="417"/>
        <w:gridCol w:w="1518"/>
        <w:gridCol w:w="1816"/>
        <w:gridCol w:w="1879"/>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10AFE93A" w:rsidR="00C4670C" w:rsidRPr="00C37D48" w:rsidRDefault="00DE2751"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0DF5733A" w:rsidR="00C4670C" w:rsidRPr="00C37D48" w:rsidRDefault="00E23F7B"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CC6896A" w:rsidR="00C4670C" w:rsidRPr="00C37D48" w:rsidRDefault="00E23F7B"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21631956" w:rsidR="00C4670C" w:rsidRPr="00C37D48" w:rsidRDefault="00E23F7B"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3A610671" w:rsidR="00C4670C" w:rsidRPr="00C37D48" w:rsidRDefault="00E23F7B"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876CFA3" w:rsidR="00C4670C" w:rsidRPr="00C37D48" w:rsidRDefault="00E23F7B"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3874D28F" w:rsidR="00C4670C" w:rsidRPr="00C37D48" w:rsidRDefault="00C4670C" w:rsidP="00C37D48">
            <w:pPr>
              <w:rPr>
                <w:rFonts w:ascii="Calibri" w:hAnsi="Calibri" w:cs="Calibri"/>
              </w:rPr>
            </w:pPr>
          </w:p>
        </w:tc>
        <w:tc>
          <w:tcPr>
            <w:tcW w:w="1664" w:type="dxa"/>
            <w:vAlign w:val="center"/>
          </w:tcPr>
          <w:p w14:paraId="26DE33FF" w14:textId="4A3E5ABC" w:rsidR="00C4670C" w:rsidRPr="00C37D48" w:rsidRDefault="00266448"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30E839BE" w:rsidR="00C4670C" w:rsidRPr="00C37D48" w:rsidRDefault="00E23F7B"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42D1EA6F" w:rsidR="00C4670C" w:rsidRPr="00C37D48" w:rsidRDefault="00E23F7B"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22C36D0" w:rsidR="00C4670C" w:rsidRPr="00C37D48" w:rsidRDefault="0085654E"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5D7DE859" w:rsidR="00C4670C" w:rsidRPr="00C37D48" w:rsidRDefault="00C4670C" w:rsidP="00C37D48">
            <w:pPr>
              <w:rPr>
                <w:rFonts w:ascii="Calibri" w:hAnsi="Calibri" w:cs="Calibri"/>
              </w:rPr>
            </w:pPr>
          </w:p>
        </w:tc>
        <w:tc>
          <w:tcPr>
            <w:tcW w:w="1664" w:type="dxa"/>
            <w:vAlign w:val="center"/>
          </w:tcPr>
          <w:p w14:paraId="34D7141D" w14:textId="23348D40" w:rsidR="00C4670C" w:rsidRPr="00C37D48" w:rsidRDefault="00DC4F68"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3F2DEC7B" w:rsidR="00C4670C" w:rsidRPr="00C37D48" w:rsidRDefault="00DC4F68"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59AB041C" w:rsidR="004F276F" w:rsidRPr="00C37D48" w:rsidRDefault="00B57E21"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238A729B" w:rsidR="004F276F" w:rsidRPr="00C37D48" w:rsidRDefault="00B57E21"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60C2B9E5" w:rsidR="004F276F" w:rsidRPr="00C37D48" w:rsidRDefault="00B57E21"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B8ABF06" w:rsidR="004F276F" w:rsidRPr="00C37D48" w:rsidRDefault="00B57E21"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1A9EFEF1" w:rsidR="004F276F" w:rsidRPr="00C37D48" w:rsidRDefault="00B57E21"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68CA122" w:rsidR="004F276F" w:rsidRPr="00C37D48" w:rsidRDefault="00B57E21"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AB5F28B" w:rsidR="004F276F" w:rsidRPr="00C37D48" w:rsidRDefault="00B57E21"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E521FAE" w:rsidR="004F276F" w:rsidRPr="00C37D48" w:rsidRDefault="00B57E21"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CBB22DA" w:rsidR="004F276F" w:rsidRPr="00C37D48" w:rsidRDefault="00675401"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ADBA65C" w:rsidR="004F276F" w:rsidRPr="00C37D48" w:rsidRDefault="00675401"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3E0B19B3" w:rsidR="004F276F" w:rsidRPr="00C37D48" w:rsidRDefault="00675401"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22EC9BB9" w:rsidR="004F276F" w:rsidRPr="00C37D48" w:rsidRDefault="00675401"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519AA0ED" w:rsidR="004F276F" w:rsidRPr="00C37D48" w:rsidRDefault="00675401"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8771308" w:rsidR="004F276F" w:rsidRPr="00C37D48" w:rsidRDefault="00675401"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356A9530" w:rsidR="004F276F" w:rsidRPr="00C37D48" w:rsidRDefault="00675401"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6F393B0D" w:rsidR="004F276F" w:rsidRPr="00C37D48" w:rsidRDefault="00675401"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400CC4B4" w:rsidR="004F276F" w:rsidRPr="00C37D48" w:rsidRDefault="00675401"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180ACD0" w:rsidR="004F276F" w:rsidRPr="00C37D48" w:rsidRDefault="00675401"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CE36A9B" w:rsidR="004F276F" w:rsidRPr="00C37D48" w:rsidRDefault="00675401"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6CC3A90C" w:rsidR="004F276F" w:rsidRPr="00C37D48" w:rsidRDefault="00675401"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1134461" w:rsidR="004F276F" w:rsidRPr="00C37D48" w:rsidRDefault="00675401"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5C98EECD" w:rsidR="004F276F" w:rsidRPr="00C37D48" w:rsidRDefault="007571AB" w:rsidP="00C37D48">
            <w:pPr>
              <w:rPr>
                <w:rFonts w:ascii="Calibri" w:hAnsi="Calibri" w:cs="Calibri"/>
              </w:rPr>
            </w:pPr>
            <w:r>
              <w:rPr>
                <w:rFonts w:ascii="Calibri" w:hAnsi="Calibri" w:cs="Calibri"/>
              </w:rPr>
              <w:t>X</w:t>
            </w:r>
          </w:p>
        </w:tc>
        <w:tc>
          <w:tcPr>
            <w:tcW w:w="1664" w:type="dxa"/>
            <w:vAlign w:val="center"/>
          </w:tcPr>
          <w:p w14:paraId="7497AFCD" w14:textId="1187EBA6"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2677C051" w:rsidR="004F276F" w:rsidRPr="00C37D48" w:rsidRDefault="007571AB" w:rsidP="00C37D48">
            <w:pPr>
              <w:rPr>
                <w:rFonts w:ascii="Calibri" w:hAnsi="Calibri" w:cs="Calibri"/>
              </w:rPr>
            </w:pPr>
            <w:r w:rsidRPr="007571AB">
              <w:rPr>
                <w:rFonts w:ascii="Calibri" w:hAnsi="Calibri" w:cs="Calibri"/>
              </w:rPr>
              <w:t>Inland waterway passenger transport, specifically Ro-Pax and ferry vessels, which are a sub-sector of transportation not separately listed.</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EA2BBB">
            <w:pPr>
              <w:jc w:val="both"/>
              <w:rPr>
                <w:rFonts w:ascii="Calibri" w:hAnsi="Calibri" w:cs="Calibri"/>
              </w:rPr>
            </w:pPr>
          </w:p>
        </w:tc>
        <w:tc>
          <w:tcPr>
            <w:tcW w:w="9376" w:type="dxa"/>
            <w:gridSpan w:val="5"/>
            <w:vAlign w:val="center"/>
          </w:tcPr>
          <w:p w14:paraId="41EA3B18" w14:textId="356E84F1" w:rsidR="004F276F" w:rsidRPr="00C37D48" w:rsidRDefault="007F4D02" w:rsidP="00EA2BBB">
            <w:pPr>
              <w:jc w:val="both"/>
              <w:rPr>
                <w:rFonts w:ascii="Calibri" w:hAnsi="Calibri" w:cs="Calibri"/>
              </w:rPr>
            </w:pPr>
            <w:r w:rsidRPr="007F4D02">
              <w:rPr>
                <w:rFonts w:ascii="Calibri" w:hAnsi="Calibri" w:cs="Calibri"/>
              </w:rPr>
              <w:t>The Guidelines target all entities involved in inland waterway-based passenger and Ro-Pax transport,</w:t>
            </w:r>
            <w:r w:rsidR="000E32DF">
              <w:rPr>
                <w:rFonts w:ascii="Calibri" w:hAnsi="Calibri" w:cs="Calibri"/>
              </w:rPr>
              <w:t xml:space="preserve"> </w:t>
            </w:r>
            <w:r w:rsidR="000E32DF" w:rsidRPr="000E32DF">
              <w:rPr>
                <w:rFonts w:ascii="Calibri" w:hAnsi="Calibri" w:cs="Calibri"/>
              </w:rPr>
              <w:t xml:space="preserve">including </w:t>
            </w:r>
            <w:r w:rsidRPr="007F4D02">
              <w:rPr>
                <w:rFonts w:ascii="Calibri" w:hAnsi="Calibri" w:cs="Calibri"/>
              </w:rPr>
              <w:t xml:space="preserve">private companies, state-owned enterprises, or local/national government departments. </w:t>
            </w:r>
            <w:r w:rsidR="00A07A73">
              <w:rPr>
                <w:rFonts w:ascii="Calibri" w:hAnsi="Calibri" w:cs="Calibri"/>
              </w:rPr>
              <w:t xml:space="preserve">While the Guidelines encourage compliance across </w:t>
            </w:r>
            <w:r w:rsidRPr="007F4D02">
              <w:rPr>
                <w:rFonts w:ascii="Calibri" w:hAnsi="Calibri" w:cs="Calibri"/>
              </w:rPr>
              <w:t xml:space="preserve">all relevant </w:t>
            </w:r>
            <w:r w:rsidR="008B525D">
              <w:rPr>
                <w:rFonts w:ascii="Calibri" w:hAnsi="Calibri" w:cs="Calibri"/>
              </w:rPr>
              <w:t xml:space="preserve">stakeholders, </w:t>
            </w:r>
            <w:r w:rsidR="00443162">
              <w:rPr>
                <w:rFonts w:ascii="Calibri" w:hAnsi="Calibri" w:cs="Calibri"/>
              </w:rPr>
              <w:t xml:space="preserve">the responsibilities outlined are advisory in nature and not </w:t>
            </w:r>
            <w:r w:rsidRPr="007F4D02">
              <w:rPr>
                <w:rFonts w:ascii="Calibri" w:hAnsi="Calibri" w:cs="Calibri"/>
              </w:rPr>
              <w:t>legal</w:t>
            </w:r>
            <w:r w:rsidR="00443162">
              <w:rPr>
                <w:rFonts w:ascii="Calibri" w:hAnsi="Calibri" w:cs="Calibri"/>
              </w:rPr>
              <w:t>ly</w:t>
            </w:r>
            <w:r w:rsidRPr="007F4D02">
              <w:rPr>
                <w:rFonts w:ascii="Calibri" w:hAnsi="Calibri" w:cs="Calibri"/>
              </w:rPr>
              <w:t xml:space="preserve"> </w:t>
            </w:r>
            <w:r w:rsidR="00443162">
              <w:rPr>
                <w:rFonts w:ascii="Calibri" w:hAnsi="Calibri" w:cs="Calibri"/>
              </w:rPr>
              <w:t>binding</w:t>
            </w:r>
            <w:r w:rsidRPr="007F4D02">
              <w:rPr>
                <w:rFonts w:ascii="Calibri" w:hAnsi="Calibri" w:cs="Calibri"/>
              </w:rPr>
              <w: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70352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16FF4E4F" w:rsidR="004F276F" w:rsidRPr="00C37D48" w:rsidRDefault="004C3FA0" w:rsidP="00EA2BBB">
            <w:pPr>
              <w:jc w:val="both"/>
              <w:rPr>
                <w:rFonts w:ascii="Calibri" w:hAnsi="Calibri" w:cs="Calibri"/>
              </w:rPr>
            </w:pPr>
            <w:r w:rsidRPr="004C3FA0">
              <w:rPr>
                <w:rFonts w:ascii="Calibri" w:hAnsi="Calibri" w:cs="Calibri"/>
              </w:rPr>
              <w:t>Yes – the Guidelines apply to all entities operating in India’s inland waterway sector.</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5A57BE1" w:rsidR="004F276F" w:rsidRPr="00C37D48" w:rsidRDefault="00CA0E63" w:rsidP="00EA2BBB">
            <w:pPr>
              <w:jc w:val="both"/>
              <w:rPr>
                <w:rFonts w:ascii="Calibri" w:hAnsi="Calibri" w:cs="Calibri"/>
              </w:rPr>
            </w:pPr>
            <w:r w:rsidRPr="00CA0E63">
              <w:rPr>
                <w:rFonts w:ascii="Calibri" w:hAnsi="Calibri" w:cs="Calibri"/>
              </w:rPr>
              <w:t>Entities involved in passenger/Ro-Pax services on inland and select coastal waterways, including both new and retrofitted vessels (Harit Nauka, Section 3). No numeric thresholds apply.</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3D2848AD" w:rsidR="004F276F" w:rsidRPr="00C37D48" w:rsidRDefault="00CA0E63"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02AAFE42" w:rsidR="004F276F" w:rsidRPr="00C37D48" w:rsidRDefault="007242BD"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2105D8C5" w:rsidR="00711F61" w:rsidRPr="00C37D48" w:rsidRDefault="007242BD" w:rsidP="00EA2BBB">
            <w:pPr>
              <w:jc w:val="both"/>
              <w:rPr>
                <w:rFonts w:ascii="Calibri" w:hAnsi="Calibri" w:cs="Calibri"/>
              </w:rPr>
            </w:pPr>
            <w:r w:rsidRPr="007242BD">
              <w:rPr>
                <w:rFonts w:ascii="Calibri" w:hAnsi="Calibri" w:cs="Calibri"/>
              </w:rPr>
              <w:t>The Harit Nauka Guidelines are</w:t>
            </w:r>
            <w:r w:rsidR="00EF41A5">
              <w:rPr>
                <w:rFonts w:ascii="Calibri" w:hAnsi="Calibri" w:cs="Calibri"/>
              </w:rPr>
              <w:t xml:space="preserve"> advisory</w:t>
            </w:r>
            <w:r w:rsidRPr="007242BD">
              <w:rPr>
                <w:rFonts w:ascii="Calibri" w:hAnsi="Calibri" w:cs="Calibri"/>
              </w:rPr>
              <w:t xml:space="preserve"> in nature</w:t>
            </w:r>
            <w:r w:rsidR="00EF41A5">
              <w:rPr>
                <w:rFonts w:ascii="Calibri" w:hAnsi="Calibri" w:cs="Calibri"/>
              </w:rPr>
              <w:t xml:space="preserve"> and do not carry legal force</w:t>
            </w:r>
            <w:r w:rsidRPr="007242BD">
              <w:rPr>
                <w:rFonts w:ascii="Calibri" w:hAnsi="Calibri" w:cs="Calibri"/>
              </w:rPr>
              <w:t xml:space="preserve">. They </w:t>
            </w:r>
            <w:r w:rsidR="00EF41A5">
              <w:rPr>
                <w:rFonts w:ascii="Calibri" w:hAnsi="Calibri" w:cs="Calibri"/>
              </w:rPr>
              <w:t xml:space="preserve">provide strategic </w:t>
            </w:r>
            <w:r w:rsidRPr="007242BD">
              <w:rPr>
                <w:rFonts w:ascii="Calibri" w:hAnsi="Calibri" w:cs="Calibri"/>
              </w:rPr>
              <w:t>direction</w:t>
            </w:r>
            <w:r w:rsidR="003E6BFA">
              <w:rPr>
                <w:rFonts w:ascii="Calibri" w:hAnsi="Calibri" w:cs="Calibri"/>
              </w:rPr>
              <w:t xml:space="preserve"> and</w:t>
            </w:r>
            <w:r w:rsidRPr="007242BD">
              <w:rPr>
                <w:rFonts w:ascii="Calibri" w:hAnsi="Calibri" w:cs="Calibri"/>
              </w:rPr>
              <w:t xml:space="preserve"> goals</w:t>
            </w:r>
            <w:r w:rsidR="00B553A8">
              <w:rPr>
                <w:rFonts w:ascii="Calibri" w:hAnsi="Calibri" w:cs="Calibri"/>
              </w:rPr>
              <w:t>,</w:t>
            </w:r>
            <w:r w:rsidRPr="007242BD">
              <w:rPr>
                <w:rFonts w:ascii="Calibri" w:hAnsi="Calibri" w:cs="Calibri"/>
              </w:rPr>
              <w:t xml:space="preserve"> rather than </w:t>
            </w:r>
            <w:r w:rsidR="00B553A8">
              <w:rPr>
                <w:rFonts w:ascii="Calibri" w:hAnsi="Calibri" w:cs="Calibri"/>
              </w:rPr>
              <w:t xml:space="preserve">impose </w:t>
            </w:r>
            <w:r w:rsidRPr="007242BD">
              <w:rPr>
                <w:rFonts w:ascii="Calibri" w:hAnsi="Calibri" w:cs="Calibri"/>
              </w:rPr>
              <w:t xml:space="preserve">enforceable obligations. </w:t>
            </w:r>
            <w:r w:rsidR="00B553A8">
              <w:rPr>
                <w:rFonts w:ascii="Calibri" w:hAnsi="Calibri" w:cs="Calibri"/>
              </w:rPr>
              <w:t xml:space="preserve">Accordingly, the Guidelines do not specify any </w:t>
            </w:r>
            <w:r w:rsidRPr="007242BD">
              <w:rPr>
                <w:rFonts w:ascii="Calibri" w:hAnsi="Calibri" w:cs="Calibri"/>
              </w:rPr>
              <w:t>penalties or legal sanctions for non-compliance.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0472686E" w:rsidR="001F30DE" w:rsidRPr="00C37D48" w:rsidRDefault="00466373"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41C3883C" w14:textId="23C49327" w:rsidR="00FE46AA" w:rsidRPr="00FE46AA" w:rsidRDefault="001B17D4" w:rsidP="00EA2BBB">
            <w:pPr>
              <w:jc w:val="both"/>
              <w:rPr>
                <w:rFonts w:ascii="Calibri" w:hAnsi="Calibri" w:cs="Calibri"/>
              </w:rPr>
            </w:pPr>
            <w:r w:rsidRPr="001B17D4">
              <w:rPr>
                <w:rFonts w:ascii="Calibri" w:hAnsi="Calibri" w:cs="Calibri"/>
              </w:rPr>
              <w:t xml:space="preserve">The Harit Nauka Guidelines were officially launched by </w:t>
            </w:r>
            <w:proofErr w:type="spellStart"/>
            <w:r w:rsidRPr="001B17D4">
              <w:rPr>
                <w:rFonts w:ascii="Calibri" w:hAnsi="Calibri" w:cs="Calibri"/>
              </w:rPr>
              <w:t>MoPSW</w:t>
            </w:r>
            <w:proofErr w:type="spellEnd"/>
            <w:r w:rsidRPr="001B17D4">
              <w:rPr>
                <w:rFonts w:ascii="Calibri" w:hAnsi="Calibri" w:cs="Calibri"/>
              </w:rPr>
              <w:t xml:space="preserve"> on 8 January 2024 and </w:t>
            </w:r>
            <w:r w:rsidR="00FE46AA" w:rsidRPr="00FE46AA">
              <w:rPr>
                <w:rFonts w:ascii="Calibri" w:hAnsi="Calibri" w:cs="Calibri"/>
              </w:rPr>
              <w:t>are being implemented in conjunction with broader green maritime initiatives such as the Green Tug Transition Programme and the Harit Sagar Guidelines. The policy has catalysed follow-up action, including pilot projects for green retrofitting of vessels, development of fuel infrastructure, and coordination with State authorities and the Inland Waterways Authority of India (IWAI).</w:t>
            </w:r>
          </w:p>
          <w:p w14:paraId="054E34C6" w14:textId="77777777" w:rsidR="00FE46AA" w:rsidRPr="00FE46AA" w:rsidRDefault="00FE46AA" w:rsidP="00EA2BBB">
            <w:pPr>
              <w:jc w:val="both"/>
              <w:rPr>
                <w:rFonts w:ascii="Calibri" w:hAnsi="Calibri" w:cs="Calibri"/>
              </w:rPr>
            </w:pPr>
          </w:p>
          <w:p w14:paraId="221D8414" w14:textId="243A410D" w:rsidR="001F30DE" w:rsidRDefault="00FE46AA" w:rsidP="00EA2BBB">
            <w:pPr>
              <w:jc w:val="both"/>
              <w:rPr>
                <w:rFonts w:ascii="Calibri" w:hAnsi="Calibri" w:cs="Calibri"/>
              </w:rPr>
            </w:pPr>
            <w:r w:rsidRPr="00FE46AA">
              <w:rPr>
                <w:rFonts w:ascii="Calibri" w:hAnsi="Calibri" w:cs="Calibri"/>
              </w:rPr>
              <w:t xml:space="preserve">While the Guidelines are voluntary, these complementary initiatives and institutional engagement reflect ongoing implementation of the strategic goals set out under the </w:t>
            </w:r>
            <w:r w:rsidR="00BA366E">
              <w:rPr>
                <w:rFonts w:ascii="Calibri" w:hAnsi="Calibri" w:cs="Calibri"/>
              </w:rPr>
              <w:t xml:space="preserve">Guidelines’ </w:t>
            </w:r>
            <w:r w:rsidRPr="00FE46AA">
              <w:rPr>
                <w:rFonts w:ascii="Calibri" w:hAnsi="Calibri" w:cs="Calibri"/>
              </w:rPr>
              <w:t>framework.</w:t>
            </w:r>
          </w:p>
          <w:p w14:paraId="62C13E22" w14:textId="77777777" w:rsidR="001B17D4" w:rsidRDefault="001B17D4" w:rsidP="00466373">
            <w:pPr>
              <w:rPr>
                <w:rFonts w:ascii="Calibri" w:hAnsi="Calibri" w:cs="Calibri"/>
              </w:rPr>
            </w:pPr>
          </w:p>
          <w:p w14:paraId="3BA84EFA" w14:textId="49D04F13" w:rsidR="001B17D4" w:rsidRPr="00C37D48" w:rsidRDefault="001251FF" w:rsidP="00466373">
            <w:pPr>
              <w:rPr>
                <w:rFonts w:ascii="Calibri" w:hAnsi="Calibri" w:cs="Calibri"/>
              </w:rPr>
            </w:pPr>
            <w:r>
              <w:rPr>
                <w:rFonts w:ascii="Calibri" w:hAnsi="Calibri" w:cs="Calibri"/>
              </w:rPr>
              <w:t xml:space="preserve">Source: </w:t>
            </w:r>
            <w:r>
              <w:rPr>
                <w:rFonts w:ascii="Calibri" w:hAnsi="Calibri" w:cs="Calibri"/>
              </w:rPr>
              <w:br/>
            </w:r>
            <w:hyperlink r:id="rId18" w:history="1">
              <w:r w:rsidR="00CC37A3" w:rsidRPr="007F1160">
                <w:rPr>
                  <w:rStyle w:val="Hyperlink"/>
                  <w:rFonts w:ascii="Calibri" w:hAnsi="Calibri" w:cs="Calibri"/>
                </w:rPr>
                <w:t>https://web.archive.org/web/20250703122919/https://www.pib.gov.in/PressReleasePage.aspx?PRID=1994243</w:t>
              </w:r>
            </w:hyperlink>
            <w:r w:rsidR="00CC37A3">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41F5E1C4" w:rsidR="001F30DE" w:rsidRPr="00C37D48" w:rsidRDefault="00BA366E" w:rsidP="00C37D48">
            <w:pPr>
              <w:rPr>
                <w:rFonts w:ascii="Calibri" w:hAnsi="Calibri" w:cs="Calibri"/>
              </w:rPr>
            </w:pPr>
            <w:r>
              <w:rPr>
                <w:rFonts w:ascii="Calibri" w:hAnsi="Calibri" w:cs="Calibri"/>
              </w:rPr>
              <w:t>NA</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57ACACFB" w:rsidR="001F30DE" w:rsidRPr="00C37D48" w:rsidRDefault="00795072"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2C12D974" w:rsidR="001F30DE" w:rsidRPr="00C37D48" w:rsidRDefault="00D05990" w:rsidP="00EA2BBB">
            <w:pPr>
              <w:jc w:val="both"/>
              <w:rPr>
                <w:rFonts w:ascii="Calibri" w:hAnsi="Calibri" w:cs="Calibri"/>
              </w:rPr>
            </w:pPr>
            <w:r w:rsidRPr="00D05990">
              <w:rPr>
                <w:rFonts w:ascii="Calibri" w:hAnsi="Calibri" w:cs="Calibri"/>
              </w:rPr>
              <w:t>There are no</w:t>
            </w:r>
            <w:r w:rsidR="000100AD">
              <w:rPr>
                <w:rFonts w:ascii="Calibri" w:hAnsi="Calibri" w:cs="Calibri"/>
              </w:rPr>
              <w:t xml:space="preserve"> public</w:t>
            </w:r>
            <w:r w:rsidRPr="00D05990">
              <w:rPr>
                <w:rFonts w:ascii="Calibri" w:hAnsi="Calibri" w:cs="Calibri"/>
              </w:rPr>
              <w:t xml:space="preserve"> records of </w:t>
            </w:r>
            <w:r w:rsidR="000100AD">
              <w:rPr>
                <w:rFonts w:ascii="Calibri" w:hAnsi="Calibri" w:cs="Calibri"/>
              </w:rPr>
              <w:t xml:space="preserve">the </w:t>
            </w:r>
            <w:r w:rsidR="000377E5">
              <w:rPr>
                <w:rFonts w:ascii="Calibri" w:hAnsi="Calibri" w:cs="Calibri"/>
              </w:rPr>
              <w:t>Guidelines</w:t>
            </w:r>
            <w:r w:rsidR="000100AD">
              <w:rPr>
                <w:rFonts w:ascii="Calibri" w:hAnsi="Calibri" w:cs="Calibri"/>
              </w:rPr>
              <w:t xml:space="preserve"> </w:t>
            </w:r>
            <w:r w:rsidRPr="00D05990">
              <w:rPr>
                <w:rFonts w:ascii="Calibri" w:hAnsi="Calibri" w:cs="Calibri"/>
              </w:rPr>
              <w:t xml:space="preserve">being </w:t>
            </w:r>
            <w:r w:rsidR="000100AD">
              <w:rPr>
                <w:rFonts w:ascii="Calibri" w:hAnsi="Calibri" w:cs="Calibri"/>
              </w:rPr>
              <w:t xml:space="preserve">subject to </w:t>
            </w:r>
            <w:r w:rsidR="00CC37A3" w:rsidRPr="00D05990">
              <w:rPr>
                <w:rFonts w:ascii="Calibri" w:hAnsi="Calibri" w:cs="Calibri"/>
              </w:rPr>
              <w:t>litigat</w:t>
            </w:r>
            <w:r w:rsidR="00CC37A3">
              <w:rPr>
                <w:rFonts w:ascii="Calibri" w:hAnsi="Calibri" w:cs="Calibri"/>
              </w:rPr>
              <w:t>ion</w:t>
            </w:r>
            <w:r w:rsidR="00CC37A3" w:rsidRPr="00D05990">
              <w:rPr>
                <w:rFonts w:ascii="Calibri" w:hAnsi="Calibri" w:cs="Calibri"/>
              </w:rPr>
              <w:t xml:space="preserve"> or</w:t>
            </w:r>
            <w:r w:rsidRPr="00D05990">
              <w:rPr>
                <w:rFonts w:ascii="Calibri" w:hAnsi="Calibri" w:cs="Calibri"/>
              </w:rPr>
              <w:t xml:space="preserve"> cited in any court cases as a basis for legal dispute.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2DF6CEEB" w:rsidR="004F48E8" w:rsidRPr="00C37D48" w:rsidRDefault="0094291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lastRenderedPageBreak/>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224BC081" w:rsidR="000A1365" w:rsidRPr="00C37D48" w:rsidRDefault="00C530BD"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678FCBE8" w:rsidR="00D27551" w:rsidRPr="00C37D48" w:rsidRDefault="00CE2776" w:rsidP="00EA2BBB">
            <w:pPr>
              <w:jc w:val="both"/>
              <w:rPr>
                <w:rFonts w:ascii="Calibri" w:hAnsi="Calibri" w:cs="Calibri"/>
              </w:rPr>
            </w:pPr>
            <w:r w:rsidRPr="00CE2776">
              <w:rPr>
                <w:rFonts w:ascii="Calibri" w:hAnsi="Calibri" w:cs="Calibri"/>
              </w:rPr>
              <w:t xml:space="preserve">No.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38A0B518" w:rsidR="00850F36" w:rsidRPr="00C37D48" w:rsidRDefault="002A5ED4" w:rsidP="00C37D48">
            <w:pPr>
              <w:rPr>
                <w:rFonts w:ascii="Calibri" w:hAnsi="Calibri" w:cs="Calibri"/>
              </w:rPr>
            </w:pPr>
            <w:r>
              <w:rPr>
                <w:rFonts w:ascii="Calibri" w:hAnsi="Calibri" w:cs="Calibri"/>
              </w:rPr>
              <w:t>X</w:t>
            </w: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0E28911E" w:rsidR="00850F36" w:rsidRPr="00C37D48" w:rsidRDefault="002A5ED4" w:rsidP="00C37D48">
            <w:pPr>
              <w:rPr>
                <w:rFonts w:ascii="Calibri" w:hAnsi="Calibri" w:cs="Calibri"/>
              </w:rPr>
            </w:pPr>
            <w:r>
              <w:rPr>
                <w:rFonts w:ascii="Calibri" w:hAnsi="Calibri" w:cs="Calibri"/>
              </w:rPr>
              <w:t>X</w:t>
            </w: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08D4C344" w:rsidR="00850F36" w:rsidRPr="00C37D48" w:rsidRDefault="002A5ED4" w:rsidP="00C37D48">
            <w:pPr>
              <w:rPr>
                <w:rFonts w:ascii="Calibri" w:hAnsi="Calibri" w:cs="Calibri"/>
              </w:rPr>
            </w:pPr>
            <w:r>
              <w:rPr>
                <w:rFonts w:ascii="Calibri" w:hAnsi="Calibri" w:cs="Calibri"/>
              </w:rPr>
              <w:t>X</w:t>
            </w: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78FF72D2" w:rsidR="00850F36" w:rsidRPr="00C37D48" w:rsidRDefault="002A5ED4"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77C2E108" w:rsidR="00850F36" w:rsidRPr="00C37D48" w:rsidRDefault="002A5ED4"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4937BCD8" w:rsidR="00850F36" w:rsidRPr="00C37D48" w:rsidRDefault="002A5ED4" w:rsidP="00C37D48">
            <w:pPr>
              <w:rPr>
                <w:rFonts w:ascii="Calibri" w:hAnsi="Calibri" w:cs="Calibri"/>
              </w:rPr>
            </w:pPr>
            <w:r>
              <w:rPr>
                <w:rFonts w:ascii="Calibri" w:hAnsi="Calibri" w:cs="Calibri"/>
              </w:rPr>
              <w:t>X</w:t>
            </w: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46ABCF6F" w:rsidR="00850F36" w:rsidRPr="00C37D48" w:rsidRDefault="002A5ED4"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1FE37F1F" w:rsidR="00850F36" w:rsidRPr="00C37D48" w:rsidRDefault="002A5ED4" w:rsidP="00C37D48">
            <w:pPr>
              <w:rPr>
                <w:rFonts w:ascii="Calibri" w:hAnsi="Calibri" w:cs="Calibri"/>
              </w:rPr>
            </w:pPr>
            <w:r>
              <w:rPr>
                <w:rFonts w:ascii="Calibri" w:hAnsi="Calibri" w:cs="Calibri"/>
              </w:rPr>
              <w:t>X</w:t>
            </w: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5BAD06E4" w:rsidR="00850F36" w:rsidRPr="00C37D48" w:rsidRDefault="002A5ED4"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0BD1D22E" w:rsidR="00850F36" w:rsidRPr="00C37D48" w:rsidRDefault="002A5ED4"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2A3662C0" w:rsidR="00850F36" w:rsidRPr="00C37D48" w:rsidRDefault="002A5ED4"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1EC478B3" w:rsidR="00850F36" w:rsidRPr="00C37D48" w:rsidRDefault="002A5ED4"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A1554DA" w:rsidR="00850F36" w:rsidRPr="00C37D48" w:rsidRDefault="002A5ED4"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FED084E" w14:textId="7D5A601E" w:rsidR="005B7D38" w:rsidRPr="005B7D38" w:rsidRDefault="005B7D38" w:rsidP="00EA2BBB">
            <w:pPr>
              <w:jc w:val="both"/>
              <w:rPr>
                <w:rFonts w:ascii="Calibri" w:hAnsi="Calibri" w:cs="Calibri"/>
                <w:lang w:val="en-IN"/>
              </w:rPr>
            </w:pPr>
            <w:r w:rsidRPr="005B7D38">
              <w:rPr>
                <w:rFonts w:ascii="Calibri" w:hAnsi="Calibri" w:cs="Calibri"/>
                <w:lang w:val="en-IN"/>
              </w:rPr>
              <w:t>The Guidelines recommend multiple sector-wide decarbonisation targets as part of the inland vessel transition roadmap. These include:</w:t>
            </w:r>
          </w:p>
          <w:p w14:paraId="3364765F" w14:textId="77777777" w:rsidR="005B7D38" w:rsidRPr="005B7D38" w:rsidRDefault="005B7D38" w:rsidP="00EA2BBB">
            <w:pPr>
              <w:numPr>
                <w:ilvl w:val="0"/>
                <w:numId w:val="49"/>
              </w:numPr>
              <w:jc w:val="both"/>
              <w:rPr>
                <w:rFonts w:ascii="Calibri" w:hAnsi="Calibri" w:cs="Calibri"/>
                <w:lang w:val="en-IN"/>
              </w:rPr>
            </w:pPr>
            <w:r w:rsidRPr="00EA2BBB">
              <w:rPr>
                <w:rFonts w:ascii="Calibri" w:hAnsi="Calibri" w:cs="Calibri"/>
                <w:lang w:val="en-IN"/>
              </w:rPr>
              <w:t>Absolute emissions reduction</w:t>
            </w:r>
            <w:r w:rsidRPr="005B7D38">
              <w:rPr>
                <w:rFonts w:ascii="Calibri" w:hAnsi="Calibri" w:cs="Calibri"/>
                <w:lang w:val="en-IN"/>
              </w:rPr>
              <w:t xml:space="preserve"> and </w:t>
            </w:r>
            <w:r w:rsidRPr="00EA2BBB">
              <w:rPr>
                <w:rFonts w:ascii="Calibri" w:hAnsi="Calibri" w:cs="Calibri"/>
                <w:lang w:val="en-IN"/>
              </w:rPr>
              <w:t>intensity-based targets</w:t>
            </w:r>
            <w:r w:rsidRPr="005B7D38">
              <w:rPr>
                <w:rFonts w:ascii="Calibri" w:hAnsi="Calibri" w:cs="Calibri"/>
                <w:lang w:val="en-IN"/>
              </w:rPr>
              <w:t>, such as:</w:t>
            </w:r>
          </w:p>
          <w:p w14:paraId="301DF2C7" w14:textId="77777777" w:rsidR="005B7D38" w:rsidRPr="005B7D38" w:rsidRDefault="005B7D38" w:rsidP="00EA2BBB">
            <w:pPr>
              <w:numPr>
                <w:ilvl w:val="1"/>
                <w:numId w:val="49"/>
              </w:numPr>
              <w:jc w:val="both"/>
              <w:rPr>
                <w:rFonts w:ascii="Calibri" w:hAnsi="Calibri" w:cs="Calibri"/>
                <w:lang w:val="en-IN"/>
              </w:rPr>
            </w:pPr>
            <w:r w:rsidRPr="005B7D38">
              <w:rPr>
                <w:rFonts w:ascii="Calibri" w:hAnsi="Calibri" w:cs="Calibri"/>
                <w:lang w:val="en-IN"/>
              </w:rPr>
              <w:t>30% reduction in carbon intensity by 2030</w:t>
            </w:r>
          </w:p>
          <w:p w14:paraId="07F79516" w14:textId="77777777" w:rsidR="005B7D38" w:rsidRPr="005B7D38" w:rsidRDefault="005B7D38" w:rsidP="00EA2BBB">
            <w:pPr>
              <w:numPr>
                <w:ilvl w:val="1"/>
                <w:numId w:val="49"/>
              </w:numPr>
              <w:jc w:val="both"/>
              <w:rPr>
                <w:rFonts w:ascii="Calibri" w:hAnsi="Calibri" w:cs="Calibri"/>
                <w:lang w:val="en-IN"/>
              </w:rPr>
            </w:pPr>
            <w:r w:rsidRPr="005B7D38">
              <w:rPr>
                <w:rFonts w:ascii="Calibri" w:hAnsi="Calibri" w:cs="Calibri"/>
                <w:lang w:val="en-IN"/>
              </w:rPr>
              <w:t>70% reduction by 2047</w:t>
            </w:r>
          </w:p>
          <w:p w14:paraId="6824D5D3" w14:textId="77777777" w:rsidR="005B7D38" w:rsidRDefault="005B7D38" w:rsidP="005B7D38">
            <w:pPr>
              <w:numPr>
                <w:ilvl w:val="1"/>
                <w:numId w:val="49"/>
              </w:numPr>
              <w:jc w:val="both"/>
              <w:rPr>
                <w:rFonts w:ascii="Calibri" w:hAnsi="Calibri" w:cs="Calibri"/>
                <w:lang w:val="en-IN"/>
              </w:rPr>
            </w:pPr>
            <w:r w:rsidRPr="005B7D38">
              <w:rPr>
                <w:rFonts w:ascii="Calibri" w:hAnsi="Calibri" w:cs="Calibri"/>
                <w:lang w:val="en-IN"/>
              </w:rPr>
              <w:t>Full transition to Green Vessels by 2047</w:t>
            </w:r>
          </w:p>
          <w:p w14:paraId="401F29D6" w14:textId="0F264E52" w:rsidR="005B7D38" w:rsidRPr="005B7D38" w:rsidRDefault="005B7D38" w:rsidP="00EA2BBB">
            <w:pPr>
              <w:jc w:val="both"/>
              <w:rPr>
                <w:rFonts w:ascii="Calibri" w:hAnsi="Calibri" w:cs="Calibri"/>
                <w:lang w:val="en-IN"/>
              </w:rPr>
            </w:pPr>
            <w:r w:rsidRPr="005B7D38">
              <w:rPr>
                <w:rFonts w:ascii="Calibri" w:hAnsi="Calibri" w:cs="Calibri"/>
                <w:i/>
                <w:iCs/>
                <w:lang w:val="en-IN"/>
              </w:rPr>
              <w:t>(Ref: Section 6: Implementation Targets)</w:t>
            </w:r>
          </w:p>
          <w:p w14:paraId="0694BD1B" w14:textId="77777777" w:rsidR="005B7D38" w:rsidRPr="005B7D38" w:rsidRDefault="005B7D38" w:rsidP="00EA2BBB">
            <w:pPr>
              <w:numPr>
                <w:ilvl w:val="0"/>
                <w:numId w:val="49"/>
              </w:numPr>
              <w:jc w:val="both"/>
              <w:rPr>
                <w:rFonts w:ascii="Calibri" w:hAnsi="Calibri" w:cs="Calibri"/>
                <w:lang w:val="en-IN"/>
              </w:rPr>
            </w:pPr>
            <w:r w:rsidRPr="005B7D38">
              <w:rPr>
                <w:rFonts w:ascii="Calibri" w:hAnsi="Calibri" w:cs="Calibri"/>
                <w:lang w:val="en-IN"/>
              </w:rPr>
              <w:t xml:space="preserve">The Guidelines also align with India’s </w:t>
            </w:r>
            <w:r w:rsidRPr="00EA2BBB">
              <w:rPr>
                <w:rFonts w:ascii="Calibri" w:hAnsi="Calibri" w:cs="Calibri"/>
                <w:lang w:val="en-IN"/>
              </w:rPr>
              <w:t>net zero ambition</w:t>
            </w:r>
            <w:r w:rsidRPr="005B7D38">
              <w:rPr>
                <w:rFonts w:ascii="Calibri" w:hAnsi="Calibri" w:cs="Calibri"/>
                <w:lang w:val="en-IN"/>
              </w:rPr>
              <w:t>, encouraging entities to transition toward full decarbonisation by 2047 in sync with national goals.</w:t>
            </w:r>
          </w:p>
          <w:p w14:paraId="3CC94D4C" w14:textId="77777777" w:rsidR="005B7D38" w:rsidRDefault="005B7D38" w:rsidP="005B7D38">
            <w:pPr>
              <w:numPr>
                <w:ilvl w:val="0"/>
                <w:numId w:val="49"/>
              </w:numPr>
              <w:jc w:val="both"/>
              <w:rPr>
                <w:rFonts w:ascii="Calibri" w:hAnsi="Calibri" w:cs="Calibri"/>
                <w:lang w:val="en-IN"/>
              </w:rPr>
            </w:pPr>
            <w:r w:rsidRPr="005B7D38">
              <w:rPr>
                <w:rFonts w:ascii="Calibri" w:hAnsi="Calibri" w:cs="Calibri"/>
                <w:lang w:val="en-IN"/>
              </w:rPr>
              <w:t xml:space="preserve">A </w:t>
            </w:r>
            <w:r w:rsidRPr="00EA2BBB">
              <w:rPr>
                <w:rFonts w:ascii="Calibri" w:hAnsi="Calibri" w:cs="Calibri"/>
                <w:lang w:val="en-IN"/>
              </w:rPr>
              <w:t>sectoral decarbonisation approach</w:t>
            </w:r>
            <w:r w:rsidRPr="005B7D38">
              <w:rPr>
                <w:rFonts w:ascii="Calibri" w:hAnsi="Calibri" w:cs="Calibri"/>
                <w:lang w:val="en-IN"/>
              </w:rPr>
              <w:t xml:space="preserve"> is embedded via clear phase-down strategies (e.g., fuel transition from diesel to green fuels), and a phased plan to retrofit or replace conventional vessels.</w:t>
            </w:r>
          </w:p>
          <w:p w14:paraId="1327576E" w14:textId="747FD816" w:rsidR="005B7D38" w:rsidRPr="005B7D38" w:rsidRDefault="005B7D38" w:rsidP="00EA2BBB">
            <w:pPr>
              <w:jc w:val="both"/>
              <w:rPr>
                <w:rFonts w:ascii="Calibri" w:hAnsi="Calibri" w:cs="Calibri"/>
                <w:lang w:val="en-IN"/>
              </w:rPr>
            </w:pPr>
            <w:r w:rsidRPr="005B7D38">
              <w:rPr>
                <w:rFonts w:ascii="Calibri" w:hAnsi="Calibri" w:cs="Calibri"/>
                <w:i/>
                <w:iCs/>
                <w:lang w:val="en-IN"/>
              </w:rPr>
              <w:t>(Ref: Section 4 – Focus Areas; Section 6 – Implementation Targets)</w:t>
            </w:r>
          </w:p>
          <w:p w14:paraId="1D359E3D" w14:textId="77777777" w:rsidR="005B7D38" w:rsidRDefault="005B7D38" w:rsidP="005B7D38">
            <w:pPr>
              <w:numPr>
                <w:ilvl w:val="0"/>
                <w:numId w:val="49"/>
              </w:numPr>
              <w:jc w:val="both"/>
              <w:rPr>
                <w:rFonts w:ascii="Calibri" w:hAnsi="Calibri" w:cs="Calibri"/>
                <w:lang w:val="en-IN"/>
              </w:rPr>
            </w:pPr>
            <w:r w:rsidRPr="005B7D38">
              <w:rPr>
                <w:rFonts w:ascii="Calibri" w:hAnsi="Calibri" w:cs="Calibri"/>
                <w:lang w:val="en-IN"/>
              </w:rPr>
              <w:t xml:space="preserve">The </w:t>
            </w:r>
            <w:r w:rsidRPr="00EA2BBB">
              <w:rPr>
                <w:rFonts w:ascii="Calibri" w:hAnsi="Calibri" w:cs="Calibri"/>
                <w:lang w:val="en-IN"/>
              </w:rPr>
              <w:t>phase-down of fossil fuel usage</w:t>
            </w:r>
            <w:r w:rsidRPr="005B7D38">
              <w:rPr>
                <w:rFonts w:ascii="Calibri" w:hAnsi="Calibri" w:cs="Calibri"/>
                <w:lang w:val="en-IN"/>
              </w:rPr>
              <w:t xml:space="preserve"> is a core strategic objective. Green fuels mentioned include LNG, CNG, electricity, green hydrogen, and methanol.</w:t>
            </w:r>
          </w:p>
          <w:p w14:paraId="6751C74A" w14:textId="56307CEE" w:rsidR="005B7D38" w:rsidRPr="005B7D38" w:rsidRDefault="005B7D38" w:rsidP="00EA2BBB">
            <w:pPr>
              <w:jc w:val="both"/>
              <w:rPr>
                <w:rFonts w:ascii="Calibri" w:hAnsi="Calibri" w:cs="Calibri"/>
                <w:lang w:val="en-IN"/>
              </w:rPr>
            </w:pPr>
            <w:r w:rsidRPr="005B7D38">
              <w:rPr>
                <w:rFonts w:ascii="Calibri" w:hAnsi="Calibri" w:cs="Calibri"/>
                <w:i/>
                <w:iCs/>
                <w:lang w:val="en-IN"/>
              </w:rPr>
              <w:t>(Ref: Section 1.3 and 4.1 of the Guidelines)</w:t>
            </w:r>
          </w:p>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19B234C9" w:rsidR="000A1365" w:rsidRPr="00C37D48" w:rsidRDefault="00556CAD"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E9014A2" w:rsidR="00C81DE5" w:rsidRPr="00C37D48" w:rsidRDefault="00556CAD"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6D9CB900" w:rsidR="000A1365" w:rsidRPr="00C37D48" w:rsidRDefault="00EA6FD0"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61274647"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5AD87B4D" w14:textId="7E2E3A97" w:rsidR="004414A8" w:rsidRPr="004414A8" w:rsidRDefault="004414A8" w:rsidP="004414A8">
            <w:pPr>
              <w:rPr>
                <w:rFonts w:ascii="Calibri" w:hAnsi="Calibri" w:cs="Calibri"/>
              </w:rPr>
            </w:pPr>
            <w:r w:rsidRPr="004414A8">
              <w:rPr>
                <w:rFonts w:ascii="Calibri" w:hAnsi="Calibri" w:cs="Calibri"/>
              </w:rPr>
              <w:t>The Guidelines refer to decarbonisation goals of:</w:t>
            </w:r>
          </w:p>
          <w:p w14:paraId="7FBD8D7F" w14:textId="58D9B6D8" w:rsidR="004414A8" w:rsidRPr="00EA2BBB" w:rsidRDefault="004414A8" w:rsidP="00EA2BBB">
            <w:pPr>
              <w:pStyle w:val="ListParagraph"/>
              <w:numPr>
                <w:ilvl w:val="0"/>
                <w:numId w:val="50"/>
              </w:numPr>
              <w:rPr>
                <w:rFonts w:ascii="Calibri" w:hAnsi="Calibri" w:cs="Calibri"/>
              </w:rPr>
            </w:pPr>
            <w:r w:rsidRPr="00EA2BBB">
              <w:rPr>
                <w:rFonts w:ascii="Calibri" w:hAnsi="Calibri" w:cs="Calibri"/>
              </w:rPr>
              <w:t>30% reduction in carbon intensity by 2030,</w:t>
            </w:r>
          </w:p>
          <w:p w14:paraId="249D7204" w14:textId="6A96057E" w:rsidR="004414A8" w:rsidRPr="00EA2BBB" w:rsidRDefault="004414A8" w:rsidP="00EA2BBB">
            <w:pPr>
              <w:pStyle w:val="ListParagraph"/>
              <w:numPr>
                <w:ilvl w:val="0"/>
                <w:numId w:val="50"/>
              </w:numPr>
              <w:rPr>
                <w:rFonts w:ascii="Calibri" w:hAnsi="Calibri" w:cs="Calibri"/>
              </w:rPr>
            </w:pPr>
            <w:r w:rsidRPr="00EA2BBB">
              <w:rPr>
                <w:rFonts w:ascii="Calibri" w:hAnsi="Calibri" w:cs="Calibri"/>
              </w:rPr>
              <w:t>70% by 2047,</w:t>
            </w:r>
          </w:p>
          <w:p w14:paraId="752F21F2" w14:textId="4AE77C96" w:rsidR="004414A8" w:rsidRPr="00EA2BBB" w:rsidRDefault="004414A8" w:rsidP="00EA2BBB">
            <w:pPr>
              <w:pStyle w:val="ListParagraph"/>
              <w:numPr>
                <w:ilvl w:val="0"/>
                <w:numId w:val="50"/>
              </w:numPr>
              <w:rPr>
                <w:rFonts w:ascii="Calibri" w:hAnsi="Calibri" w:cs="Calibri"/>
              </w:rPr>
            </w:pPr>
            <w:r w:rsidRPr="00EA2BBB">
              <w:rPr>
                <w:rFonts w:ascii="Calibri" w:hAnsi="Calibri" w:cs="Calibri"/>
              </w:rPr>
              <w:t>and 100% green vessels by 2047.</w:t>
            </w:r>
          </w:p>
          <w:p w14:paraId="6B197231" w14:textId="2C363D4C" w:rsidR="000A1365" w:rsidRPr="00C37D48" w:rsidRDefault="004414A8" w:rsidP="004414A8">
            <w:pPr>
              <w:rPr>
                <w:rFonts w:ascii="Calibri" w:hAnsi="Calibri" w:cs="Calibri"/>
              </w:rPr>
            </w:pPr>
            <w:r w:rsidRPr="004414A8">
              <w:rPr>
                <w:rFonts w:ascii="Calibri" w:hAnsi="Calibri" w:cs="Calibri"/>
              </w:rPr>
              <w:t>(</w:t>
            </w:r>
            <w:r w:rsidRPr="00EA2BBB">
              <w:rPr>
                <w:rFonts w:ascii="Calibri" w:hAnsi="Calibri" w:cs="Calibri"/>
                <w:i/>
                <w:iCs/>
              </w:rPr>
              <w:t>Ref: Section 6 – Implementation Targets</w:t>
            </w:r>
            <w:r w:rsidRPr="004414A8">
              <w:rPr>
                <w:rFonts w:ascii="Calibri" w:hAnsi="Calibri" w:cs="Calibri"/>
              </w:rPr>
              <w:t>)</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6CC28DF8" w:rsidR="000A1365" w:rsidRPr="00C37D48" w:rsidRDefault="008B6E6C"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75503BA0" w:rsidR="000A1365" w:rsidRPr="00C37D48" w:rsidRDefault="008B6E6C"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D4E48F1" w14:textId="27FAEC3B" w:rsidR="006323E7" w:rsidRPr="006323E7" w:rsidRDefault="006323E7" w:rsidP="006323E7">
            <w:pPr>
              <w:rPr>
                <w:rFonts w:ascii="Calibri" w:hAnsi="Calibri" w:cs="Calibri"/>
              </w:rPr>
            </w:pPr>
            <w:r w:rsidRPr="006323E7">
              <w:rPr>
                <w:rFonts w:ascii="Calibri" w:hAnsi="Calibri" w:cs="Calibri"/>
              </w:rPr>
              <w:t>The Guidelines list interim decarbonisation milestones:</w:t>
            </w:r>
          </w:p>
          <w:p w14:paraId="2886D5F9" w14:textId="1741D190" w:rsidR="006323E7" w:rsidRPr="00EA2BBB" w:rsidRDefault="006323E7" w:rsidP="00EA2BBB">
            <w:pPr>
              <w:pStyle w:val="ListParagraph"/>
              <w:numPr>
                <w:ilvl w:val="0"/>
                <w:numId w:val="51"/>
              </w:numPr>
              <w:rPr>
                <w:rFonts w:ascii="Calibri" w:hAnsi="Calibri" w:cs="Calibri"/>
              </w:rPr>
            </w:pPr>
            <w:r w:rsidRPr="00EA2BBB">
              <w:rPr>
                <w:rFonts w:ascii="Calibri" w:hAnsi="Calibri" w:cs="Calibri"/>
              </w:rPr>
              <w:t>30% reduction in carbon intensity by 2030</w:t>
            </w:r>
          </w:p>
          <w:p w14:paraId="340272EF" w14:textId="55AEB879" w:rsidR="006323E7" w:rsidRPr="00EA2BBB" w:rsidRDefault="006323E7" w:rsidP="00EA2BBB">
            <w:pPr>
              <w:pStyle w:val="ListParagraph"/>
              <w:numPr>
                <w:ilvl w:val="0"/>
                <w:numId w:val="51"/>
              </w:numPr>
              <w:rPr>
                <w:rFonts w:ascii="Calibri" w:hAnsi="Calibri" w:cs="Calibri"/>
              </w:rPr>
            </w:pPr>
            <w:r w:rsidRPr="00EA2BBB">
              <w:rPr>
                <w:rFonts w:ascii="Calibri" w:hAnsi="Calibri" w:cs="Calibri"/>
              </w:rPr>
              <w:t>50% of fleet to shift to green fuels by 2033</w:t>
            </w:r>
          </w:p>
          <w:p w14:paraId="7E8ED2C6" w14:textId="5CFFFF75" w:rsidR="000A1365" w:rsidRPr="00C37D48" w:rsidRDefault="006323E7" w:rsidP="006323E7">
            <w:pPr>
              <w:rPr>
                <w:rFonts w:ascii="Calibri" w:hAnsi="Calibri" w:cs="Calibri"/>
              </w:rPr>
            </w:pPr>
            <w:r w:rsidRPr="006323E7">
              <w:rPr>
                <w:rFonts w:ascii="Calibri" w:hAnsi="Calibri" w:cs="Calibri"/>
              </w:rPr>
              <w:t>(</w:t>
            </w:r>
            <w:r w:rsidRPr="00EA2BBB">
              <w:rPr>
                <w:rFonts w:ascii="Calibri" w:hAnsi="Calibri" w:cs="Calibri"/>
                <w:i/>
                <w:iCs/>
              </w:rPr>
              <w:t>Ref: Section 6 – Implementation Targets</w:t>
            </w:r>
            <w:r w:rsidRPr="006323E7">
              <w:rPr>
                <w:rFonts w:ascii="Calibri" w:hAnsi="Calibri" w:cs="Calibri"/>
              </w:rPr>
              <w:t>)</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6A36C442" w:rsidR="000A1365" w:rsidRPr="00C37D48" w:rsidRDefault="00187A2C"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36B36006" w:rsidR="000A1365" w:rsidRPr="00C37D48" w:rsidRDefault="006F060C"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lastRenderedPageBreak/>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EAB2572" w:rsidR="00D9431B" w:rsidRPr="00C37D48" w:rsidRDefault="006F060C"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5BE33DE9" w:rsidR="00890032" w:rsidRPr="00C37D48" w:rsidRDefault="002A2F7A"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F782F90" w:rsidR="00B610C2" w:rsidRPr="00610F28" w:rsidRDefault="00A44A7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BAF4B68" w:rsidR="00B610C2" w:rsidRPr="00610F28" w:rsidRDefault="00A44A7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8AA6766" w:rsidR="00B610C2" w:rsidRPr="00610F28" w:rsidRDefault="00A44A7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D5848AC" w:rsidR="00B610C2" w:rsidRPr="00610F28" w:rsidRDefault="00A44A7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C55507D" w:rsidR="00B610C2" w:rsidRPr="00610F28" w:rsidRDefault="00A44A7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F4BCF55" w:rsidR="00B610C2" w:rsidRPr="00610F28" w:rsidRDefault="00A44A7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A38839C" w:rsidR="00B610C2" w:rsidRPr="00610F28" w:rsidRDefault="00A44A7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6AB551E" w:rsidR="00B610C2" w:rsidRPr="00610F28" w:rsidRDefault="00A44A7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F865F73" w:rsidR="00B610C2" w:rsidRPr="00610F28" w:rsidRDefault="00A44A7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3635E29" w:rsidR="00B610C2" w:rsidRPr="00610F28" w:rsidRDefault="00A44A7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240C85C" w:rsidR="00B610C2" w:rsidRPr="00610F28" w:rsidRDefault="00A44A72"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70352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70352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70352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70352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5C04B6" w14:textId="77777777" w:rsidR="0016201F" w:rsidRDefault="0016201F" w:rsidP="00874E39">
      <w:r>
        <w:separator/>
      </w:r>
    </w:p>
  </w:endnote>
  <w:endnote w:type="continuationSeparator" w:id="0">
    <w:p w14:paraId="15A99CAF" w14:textId="77777777" w:rsidR="0016201F" w:rsidRDefault="0016201F" w:rsidP="00874E39">
      <w:r>
        <w:continuationSeparator/>
      </w:r>
    </w:p>
  </w:endnote>
  <w:endnote w:type="continuationNotice" w:id="1">
    <w:p w14:paraId="5FDA80D2" w14:textId="77777777" w:rsidR="0016201F" w:rsidRDefault="001620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DC2F1C" w14:textId="77777777" w:rsidR="0016201F" w:rsidRDefault="0016201F" w:rsidP="00874E39">
      <w:r>
        <w:separator/>
      </w:r>
    </w:p>
  </w:footnote>
  <w:footnote w:type="continuationSeparator" w:id="0">
    <w:p w14:paraId="02E49670" w14:textId="77777777" w:rsidR="0016201F" w:rsidRDefault="0016201F" w:rsidP="00874E39">
      <w:r>
        <w:continuationSeparator/>
      </w:r>
    </w:p>
  </w:footnote>
  <w:footnote w:type="continuationNotice" w:id="1">
    <w:p w14:paraId="482F4602" w14:textId="77777777" w:rsidR="0016201F" w:rsidRDefault="001620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711582D"/>
    <w:multiLevelType w:val="multilevel"/>
    <w:tmpl w:val="F912DA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434EC5"/>
    <w:multiLevelType w:val="hybridMultilevel"/>
    <w:tmpl w:val="5E50B55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AA45CF6"/>
    <w:multiLevelType w:val="hybridMultilevel"/>
    <w:tmpl w:val="1A3A63C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4"/>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4"/>
  </w:num>
  <w:num w:numId="10" w16cid:durableId="950551298">
    <w:abstractNumId w:val="34"/>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1"/>
  </w:num>
  <w:num w:numId="17" w16cid:durableId="1529031027">
    <w:abstractNumId w:val="9"/>
  </w:num>
  <w:num w:numId="18" w16cid:durableId="568614617">
    <w:abstractNumId w:val="18"/>
  </w:num>
  <w:num w:numId="19" w16cid:durableId="1530605858">
    <w:abstractNumId w:val="45"/>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5"/>
  </w:num>
  <w:num w:numId="27" w16cid:durableId="347872198">
    <w:abstractNumId w:val="7"/>
  </w:num>
  <w:num w:numId="28" w16cid:durableId="537133110">
    <w:abstractNumId w:val="13"/>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5"/>
  </w:num>
  <w:num w:numId="38" w16cid:durableId="2033795929">
    <w:abstractNumId w:val="2"/>
  </w:num>
  <w:num w:numId="39" w16cid:durableId="1238595582">
    <w:abstractNumId w:val="27"/>
  </w:num>
  <w:num w:numId="40" w16cid:durableId="416558262">
    <w:abstractNumId w:val="24"/>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3"/>
  </w:num>
  <w:num w:numId="46" w16cid:durableId="947811845">
    <w:abstractNumId w:val="49"/>
  </w:num>
  <w:num w:numId="47" w16cid:durableId="342588554">
    <w:abstractNumId w:val="28"/>
  </w:num>
  <w:num w:numId="48" w16cid:durableId="318391343">
    <w:abstractNumId w:val="39"/>
  </w:num>
  <w:num w:numId="49" w16cid:durableId="1432432041">
    <w:abstractNumId w:val="3"/>
  </w:num>
  <w:num w:numId="50" w16cid:durableId="1131242026">
    <w:abstractNumId w:val="20"/>
  </w:num>
  <w:num w:numId="51" w16cid:durableId="110635345">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0AD"/>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7E5"/>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1E2A"/>
    <w:rsid w:val="00074BD6"/>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71CD"/>
    <w:rsid w:val="000D0592"/>
    <w:rsid w:val="000D0EB0"/>
    <w:rsid w:val="000D1226"/>
    <w:rsid w:val="000D213B"/>
    <w:rsid w:val="000D223D"/>
    <w:rsid w:val="000D5049"/>
    <w:rsid w:val="000D7158"/>
    <w:rsid w:val="000D727C"/>
    <w:rsid w:val="000D7472"/>
    <w:rsid w:val="000E0220"/>
    <w:rsid w:val="000E0404"/>
    <w:rsid w:val="000E14E6"/>
    <w:rsid w:val="000E1816"/>
    <w:rsid w:val="000E310E"/>
    <w:rsid w:val="000E31CD"/>
    <w:rsid w:val="000E32DF"/>
    <w:rsid w:val="000E3B90"/>
    <w:rsid w:val="000E3D35"/>
    <w:rsid w:val="000E6110"/>
    <w:rsid w:val="000E6A6A"/>
    <w:rsid w:val="000E7A8A"/>
    <w:rsid w:val="000F4459"/>
    <w:rsid w:val="000F5E92"/>
    <w:rsid w:val="000F690C"/>
    <w:rsid w:val="000F6A41"/>
    <w:rsid w:val="000F6E3B"/>
    <w:rsid w:val="00101305"/>
    <w:rsid w:val="001014D9"/>
    <w:rsid w:val="001021EC"/>
    <w:rsid w:val="00102338"/>
    <w:rsid w:val="00104BA2"/>
    <w:rsid w:val="00104EB1"/>
    <w:rsid w:val="00105889"/>
    <w:rsid w:val="00105C84"/>
    <w:rsid w:val="00105F75"/>
    <w:rsid w:val="00106F13"/>
    <w:rsid w:val="001076B0"/>
    <w:rsid w:val="001078E1"/>
    <w:rsid w:val="00107CE2"/>
    <w:rsid w:val="00107D91"/>
    <w:rsid w:val="001126A8"/>
    <w:rsid w:val="00112815"/>
    <w:rsid w:val="001128EE"/>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1FF"/>
    <w:rsid w:val="0013425C"/>
    <w:rsid w:val="00134550"/>
    <w:rsid w:val="00134681"/>
    <w:rsid w:val="00136F5B"/>
    <w:rsid w:val="00137257"/>
    <w:rsid w:val="00137BB2"/>
    <w:rsid w:val="00140A55"/>
    <w:rsid w:val="00140BD0"/>
    <w:rsid w:val="00141D8E"/>
    <w:rsid w:val="00142B76"/>
    <w:rsid w:val="0014396C"/>
    <w:rsid w:val="00144528"/>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01F"/>
    <w:rsid w:val="00162CC0"/>
    <w:rsid w:val="00164519"/>
    <w:rsid w:val="00172B85"/>
    <w:rsid w:val="00173D7C"/>
    <w:rsid w:val="0017449C"/>
    <w:rsid w:val="001749C3"/>
    <w:rsid w:val="00176011"/>
    <w:rsid w:val="00180289"/>
    <w:rsid w:val="00182288"/>
    <w:rsid w:val="00182646"/>
    <w:rsid w:val="00183170"/>
    <w:rsid w:val="001844F5"/>
    <w:rsid w:val="00184609"/>
    <w:rsid w:val="00185C8C"/>
    <w:rsid w:val="00187A2C"/>
    <w:rsid w:val="001904E6"/>
    <w:rsid w:val="00191059"/>
    <w:rsid w:val="001919D8"/>
    <w:rsid w:val="00192EC4"/>
    <w:rsid w:val="0019340B"/>
    <w:rsid w:val="001953A3"/>
    <w:rsid w:val="0019639C"/>
    <w:rsid w:val="00197A30"/>
    <w:rsid w:val="00197E06"/>
    <w:rsid w:val="001A0537"/>
    <w:rsid w:val="001A11A7"/>
    <w:rsid w:val="001A38BD"/>
    <w:rsid w:val="001A3CB0"/>
    <w:rsid w:val="001A4045"/>
    <w:rsid w:val="001A4372"/>
    <w:rsid w:val="001A4C33"/>
    <w:rsid w:val="001A4E14"/>
    <w:rsid w:val="001A56AE"/>
    <w:rsid w:val="001A5F64"/>
    <w:rsid w:val="001A6414"/>
    <w:rsid w:val="001A660D"/>
    <w:rsid w:val="001A6E92"/>
    <w:rsid w:val="001A6EEE"/>
    <w:rsid w:val="001A764D"/>
    <w:rsid w:val="001B0692"/>
    <w:rsid w:val="001B0906"/>
    <w:rsid w:val="001B1682"/>
    <w:rsid w:val="001B17D4"/>
    <w:rsid w:val="001B27AB"/>
    <w:rsid w:val="001B3145"/>
    <w:rsid w:val="001B3A31"/>
    <w:rsid w:val="001B3EFB"/>
    <w:rsid w:val="001B4DEC"/>
    <w:rsid w:val="001B4FB1"/>
    <w:rsid w:val="001B60DE"/>
    <w:rsid w:val="001C008B"/>
    <w:rsid w:val="001C0769"/>
    <w:rsid w:val="001C239C"/>
    <w:rsid w:val="001C3435"/>
    <w:rsid w:val="001C3966"/>
    <w:rsid w:val="001C444A"/>
    <w:rsid w:val="001C4700"/>
    <w:rsid w:val="001C5A18"/>
    <w:rsid w:val="001C5C5D"/>
    <w:rsid w:val="001C614E"/>
    <w:rsid w:val="001C669F"/>
    <w:rsid w:val="001D03D3"/>
    <w:rsid w:val="001D1453"/>
    <w:rsid w:val="001D1E48"/>
    <w:rsid w:val="001D1FF2"/>
    <w:rsid w:val="001D2C5A"/>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3CB6"/>
    <w:rsid w:val="002008EE"/>
    <w:rsid w:val="00200E3F"/>
    <w:rsid w:val="002018F7"/>
    <w:rsid w:val="002020E8"/>
    <w:rsid w:val="00203B08"/>
    <w:rsid w:val="002040F6"/>
    <w:rsid w:val="00204C4D"/>
    <w:rsid w:val="0020589D"/>
    <w:rsid w:val="00205D5A"/>
    <w:rsid w:val="002069B2"/>
    <w:rsid w:val="00206E20"/>
    <w:rsid w:val="00210E0F"/>
    <w:rsid w:val="002117E2"/>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6448"/>
    <w:rsid w:val="00266FC2"/>
    <w:rsid w:val="002679A5"/>
    <w:rsid w:val="0027067C"/>
    <w:rsid w:val="00270A4D"/>
    <w:rsid w:val="00272D9A"/>
    <w:rsid w:val="002737EF"/>
    <w:rsid w:val="0027429B"/>
    <w:rsid w:val="00274335"/>
    <w:rsid w:val="00274864"/>
    <w:rsid w:val="00274B22"/>
    <w:rsid w:val="00277FC5"/>
    <w:rsid w:val="00284637"/>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F7A"/>
    <w:rsid w:val="002A32E0"/>
    <w:rsid w:val="002A3C84"/>
    <w:rsid w:val="002A3F53"/>
    <w:rsid w:val="002A4221"/>
    <w:rsid w:val="002A5ED4"/>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59F"/>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F37"/>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98E"/>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1B0"/>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455"/>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570"/>
    <w:rsid w:val="003B3C0F"/>
    <w:rsid w:val="003B4DD6"/>
    <w:rsid w:val="003B4F81"/>
    <w:rsid w:val="003B539A"/>
    <w:rsid w:val="003B570B"/>
    <w:rsid w:val="003B5B6C"/>
    <w:rsid w:val="003B66F6"/>
    <w:rsid w:val="003B7854"/>
    <w:rsid w:val="003C16DA"/>
    <w:rsid w:val="003C1ABF"/>
    <w:rsid w:val="003C4C37"/>
    <w:rsid w:val="003C5BA2"/>
    <w:rsid w:val="003D17C7"/>
    <w:rsid w:val="003D1B49"/>
    <w:rsid w:val="003D1CF3"/>
    <w:rsid w:val="003D207B"/>
    <w:rsid w:val="003D244B"/>
    <w:rsid w:val="003D2F57"/>
    <w:rsid w:val="003D41E7"/>
    <w:rsid w:val="003D4F6F"/>
    <w:rsid w:val="003D5104"/>
    <w:rsid w:val="003D56A4"/>
    <w:rsid w:val="003D6DA5"/>
    <w:rsid w:val="003E037B"/>
    <w:rsid w:val="003E38C7"/>
    <w:rsid w:val="003E43FE"/>
    <w:rsid w:val="003E6BFA"/>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6F"/>
    <w:rsid w:val="00405D8B"/>
    <w:rsid w:val="00406643"/>
    <w:rsid w:val="00410170"/>
    <w:rsid w:val="00410853"/>
    <w:rsid w:val="00410FCF"/>
    <w:rsid w:val="00413B91"/>
    <w:rsid w:val="0041424B"/>
    <w:rsid w:val="00414CFC"/>
    <w:rsid w:val="00415C1C"/>
    <w:rsid w:val="00415F83"/>
    <w:rsid w:val="0041618A"/>
    <w:rsid w:val="00416554"/>
    <w:rsid w:val="004205C2"/>
    <w:rsid w:val="00421AD6"/>
    <w:rsid w:val="004222DF"/>
    <w:rsid w:val="00425FEF"/>
    <w:rsid w:val="00426919"/>
    <w:rsid w:val="00427085"/>
    <w:rsid w:val="00430927"/>
    <w:rsid w:val="00430E44"/>
    <w:rsid w:val="004312D8"/>
    <w:rsid w:val="00432DF0"/>
    <w:rsid w:val="00432E52"/>
    <w:rsid w:val="00433033"/>
    <w:rsid w:val="004333DA"/>
    <w:rsid w:val="004339FA"/>
    <w:rsid w:val="00433B13"/>
    <w:rsid w:val="00434724"/>
    <w:rsid w:val="00434B6A"/>
    <w:rsid w:val="0043666A"/>
    <w:rsid w:val="00436F24"/>
    <w:rsid w:val="0043774D"/>
    <w:rsid w:val="00437B11"/>
    <w:rsid w:val="004405AC"/>
    <w:rsid w:val="004414A8"/>
    <w:rsid w:val="004419AC"/>
    <w:rsid w:val="00443162"/>
    <w:rsid w:val="00444D51"/>
    <w:rsid w:val="00446AF2"/>
    <w:rsid w:val="004474C7"/>
    <w:rsid w:val="00450AD7"/>
    <w:rsid w:val="00450C15"/>
    <w:rsid w:val="004514AB"/>
    <w:rsid w:val="00452F13"/>
    <w:rsid w:val="004557A1"/>
    <w:rsid w:val="00455E1B"/>
    <w:rsid w:val="00456FB2"/>
    <w:rsid w:val="00460A6D"/>
    <w:rsid w:val="00461552"/>
    <w:rsid w:val="00463D40"/>
    <w:rsid w:val="00464C5E"/>
    <w:rsid w:val="0046509D"/>
    <w:rsid w:val="00465B8D"/>
    <w:rsid w:val="00465BE4"/>
    <w:rsid w:val="00466373"/>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A9F"/>
    <w:rsid w:val="004A06B9"/>
    <w:rsid w:val="004A14A0"/>
    <w:rsid w:val="004A1B2A"/>
    <w:rsid w:val="004A1C8C"/>
    <w:rsid w:val="004A2174"/>
    <w:rsid w:val="004A4C51"/>
    <w:rsid w:val="004A4E0A"/>
    <w:rsid w:val="004A54B3"/>
    <w:rsid w:val="004A6774"/>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3FA0"/>
    <w:rsid w:val="004C6739"/>
    <w:rsid w:val="004C70AC"/>
    <w:rsid w:val="004D2730"/>
    <w:rsid w:val="004D3416"/>
    <w:rsid w:val="004D565D"/>
    <w:rsid w:val="004D5810"/>
    <w:rsid w:val="004D6484"/>
    <w:rsid w:val="004D7C53"/>
    <w:rsid w:val="004E3529"/>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62B"/>
    <w:rsid w:val="00522F02"/>
    <w:rsid w:val="005231CE"/>
    <w:rsid w:val="00523BC9"/>
    <w:rsid w:val="00524D54"/>
    <w:rsid w:val="0052600B"/>
    <w:rsid w:val="00526617"/>
    <w:rsid w:val="00530553"/>
    <w:rsid w:val="00530958"/>
    <w:rsid w:val="00532585"/>
    <w:rsid w:val="00532B66"/>
    <w:rsid w:val="00533540"/>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CA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1D3"/>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5D8"/>
    <w:rsid w:val="005B355B"/>
    <w:rsid w:val="005B35B3"/>
    <w:rsid w:val="005B4539"/>
    <w:rsid w:val="005B7D38"/>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6C1B"/>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7B6"/>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3E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0B04"/>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3AF"/>
    <w:rsid w:val="00675401"/>
    <w:rsid w:val="00675752"/>
    <w:rsid w:val="006770B7"/>
    <w:rsid w:val="006801E4"/>
    <w:rsid w:val="00683A9D"/>
    <w:rsid w:val="00683DB5"/>
    <w:rsid w:val="00685A4F"/>
    <w:rsid w:val="006878AC"/>
    <w:rsid w:val="00687F8D"/>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566A"/>
    <w:rsid w:val="006E114C"/>
    <w:rsid w:val="006E18FD"/>
    <w:rsid w:val="006E23C1"/>
    <w:rsid w:val="006E43A6"/>
    <w:rsid w:val="006E5C5F"/>
    <w:rsid w:val="006E5EE5"/>
    <w:rsid w:val="006E6B58"/>
    <w:rsid w:val="006E7195"/>
    <w:rsid w:val="006E7DC6"/>
    <w:rsid w:val="006F060C"/>
    <w:rsid w:val="006F0E83"/>
    <w:rsid w:val="006F13BA"/>
    <w:rsid w:val="006F2FC8"/>
    <w:rsid w:val="006F344F"/>
    <w:rsid w:val="006F3CBF"/>
    <w:rsid w:val="006F531C"/>
    <w:rsid w:val="006F53B6"/>
    <w:rsid w:val="006F7123"/>
    <w:rsid w:val="0070013E"/>
    <w:rsid w:val="00701604"/>
    <w:rsid w:val="00702413"/>
    <w:rsid w:val="00702929"/>
    <w:rsid w:val="00702E5A"/>
    <w:rsid w:val="00703034"/>
    <w:rsid w:val="007032D7"/>
    <w:rsid w:val="0070352F"/>
    <w:rsid w:val="007055F4"/>
    <w:rsid w:val="00705948"/>
    <w:rsid w:val="00705ADE"/>
    <w:rsid w:val="007066F4"/>
    <w:rsid w:val="00707D5E"/>
    <w:rsid w:val="00707F76"/>
    <w:rsid w:val="00711F61"/>
    <w:rsid w:val="007130D4"/>
    <w:rsid w:val="00714103"/>
    <w:rsid w:val="00714E43"/>
    <w:rsid w:val="00717C33"/>
    <w:rsid w:val="007201B1"/>
    <w:rsid w:val="007242BD"/>
    <w:rsid w:val="007245FC"/>
    <w:rsid w:val="007250B7"/>
    <w:rsid w:val="007274CB"/>
    <w:rsid w:val="0072785A"/>
    <w:rsid w:val="00730E27"/>
    <w:rsid w:val="007312A3"/>
    <w:rsid w:val="00731AE2"/>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1AB"/>
    <w:rsid w:val="007600D1"/>
    <w:rsid w:val="00760233"/>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927"/>
    <w:rsid w:val="0078610D"/>
    <w:rsid w:val="007866CF"/>
    <w:rsid w:val="00786AC9"/>
    <w:rsid w:val="00786EC4"/>
    <w:rsid w:val="00787ABB"/>
    <w:rsid w:val="00791ED5"/>
    <w:rsid w:val="00792AC3"/>
    <w:rsid w:val="007936B2"/>
    <w:rsid w:val="007936C6"/>
    <w:rsid w:val="007939C4"/>
    <w:rsid w:val="00794D7C"/>
    <w:rsid w:val="00795072"/>
    <w:rsid w:val="0079563E"/>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BE5"/>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9F2"/>
    <w:rsid w:val="007D2E61"/>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4D02"/>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67C"/>
    <w:rsid w:val="0081313B"/>
    <w:rsid w:val="00813A3A"/>
    <w:rsid w:val="00813E00"/>
    <w:rsid w:val="00815729"/>
    <w:rsid w:val="00815AAB"/>
    <w:rsid w:val="00816D92"/>
    <w:rsid w:val="00816F1B"/>
    <w:rsid w:val="00817589"/>
    <w:rsid w:val="00820D9F"/>
    <w:rsid w:val="00822032"/>
    <w:rsid w:val="008247E4"/>
    <w:rsid w:val="0082488A"/>
    <w:rsid w:val="0082674B"/>
    <w:rsid w:val="008273C0"/>
    <w:rsid w:val="008279D8"/>
    <w:rsid w:val="00827D9E"/>
    <w:rsid w:val="00831667"/>
    <w:rsid w:val="008318AE"/>
    <w:rsid w:val="00831C3E"/>
    <w:rsid w:val="008331E9"/>
    <w:rsid w:val="00833B6E"/>
    <w:rsid w:val="00833F13"/>
    <w:rsid w:val="00833FB6"/>
    <w:rsid w:val="00834370"/>
    <w:rsid w:val="008354C6"/>
    <w:rsid w:val="00835A06"/>
    <w:rsid w:val="00836174"/>
    <w:rsid w:val="00836AFC"/>
    <w:rsid w:val="0083739E"/>
    <w:rsid w:val="008375FD"/>
    <w:rsid w:val="008377D4"/>
    <w:rsid w:val="00840208"/>
    <w:rsid w:val="008408CC"/>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C5"/>
    <w:rsid w:val="0085591B"/>
    <w:rsid w:val="0085654E"/>
    <w:rsid w:val="008569FA"/>
    <w:rsid w:val="008577E3"/>
    <w:rsid w:val="00857C2D"/>
    <w:rsid w:val="00860CA9"/>
    <w:rsid w:val="00861D43"/>
    <w:rsid w:val="008625BF"/>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A09"/>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C33"/>
    <w:rsid w:val="00897600"/>
    <w:rsid w:val="008A0461"/>
    <w:rsid w:val="008A093D"/>
    <w:rsid w:val="008A1DDE"/>
    <w:rsid w:val="008A207F"/>
    <w:rsid w:val="008A345E"/>
    <w:rsid w:val="008A3EBF"/>
    <w:rsid w:val="008A4685"/>
    <w:rsid w:val="008A50AD"/>
    <w:rsid w:val="008B0F60"/>
    <w:rsid w:val="008B0F8A"/>
    <w:rsid w:val="008B2418"/>
    <w:rsid w:val="008B4536"/>
    <w:rsid w:val="008B525D"/>
    <w:rsid w:val="008B5DC5"/>
    <w:rsid w:val="008B6E6C"/>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42A"/>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2A4"/>
    <w:rsid w:val="00931F08"/>
    <w:rsid w:val="00932230"/>
    <w:rsid w:val="0093344C"/>
    <w:rsid w:val="009338F2"/>
    <w:rsid w:val="00933F3C"/>
    <w:rsid w:val="00934657"/>
    <w:rsid w:val="00935283"/>
    <w:rsid w:val="009370E9"/>
    <w:rsid w:val="00937D9B"/>
    <w:rsid w:val="00940E65"/>
    <w:rsid w:val="0094115B"/>
    <w:rsid w:val="0094291E"/>
    <w:rsid w:val="009462FE"/>
    <w:rsid w:val="00946B7A"/>
    <w:rsid w:val="00946D94"/>
    <w:rsid w:val="009471BC"/>
    <w:rsid w:val="00947D8F"/>
    <w:rsid w:val="00950AB0"/>
    <w:rsid w:val="00950B68"/>
    <w:rsid w:val="00951BBE"/>
    <w:rsid w:val="0095260A"/>
    <w:rsid w:val="00952AB2"/>
    <w:rsid w:val="00952FEB"/>
    <w:rsid w:val="00953E75"/>
    <w:rsid w:val="009542F1"/>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03D"/>
    <w:rsid w:val="00984D24"/>
    <w:rsid w:val="00984DBA"/>
    <w:rsid w:val="0098621E"/>
    <w:rsid w:val="009868E2"/>
    <w:rsid w:val="0099020E"/>
    <w:rsid w:val="00991124"/>
    <w:rsid w:val="009923B6"/>
    <w:rsid w:val="009926EF"/>
    <w:rsid w:val="00993609"/>
    <w:rsid w:val="00994653"/>
    <w:rsid w:val="00994C5F"/>
    <w:rsid w:val="00994E6E"/>
    <w:rsid w:val="00996526"/>
    <w:rsid w:val="009967D9"/>
    <w:rsid w:val="00996A43"/>
    <w:rsid w:val="00996EFE"/>
    <w:rsid w:val="00997B2D"/>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0E8"/>
    <w:rsid w:val="00A05CFC"/>
    <w:rsid w:val="00A064CE"/>
    <w:rsid w:val="00A0773E"/>
    <w:rsid w:val="00A07A73"/>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285"/>
    <w:rsid w:val="00A36AA7"/>
    <w:rsid w:val="00A40404"/>
    <w:rsid w:val="00A42235"/>
    <w:rsid w:val="00A42858"/>
    <w:rsid w:val="00A43199"/>
    <w:rsid w:val="00A43AFC"/>
    <w:rsid w:val="00A445CD"/>
    <w:rsid w:val="00A446BD"/>
    <w:rsid w:val="00A44A72"/>
    <w:rsid w:val="00A45776"/>
    <w:rsid w:val="00A45EAC"/>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C1E"/>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E13"/>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251F"/>
    <w:rsid w:val="00B35E99"/>
    <w:rsid w:val="00B3764F"/>
    <w:rsid w:val="00B41334"/>
    <w:rsid w:val="00B43080"/>
    <w:rsid w:val="00B431B1"/>
    <w:rsid w:val="00B43E73"/>
    <w:rsid w:val="00B4464A"/>
    <w:rsid w:val="00B44FFE"/>
    <w:rsid w:val="00B45AE1"/>
    <w:rsid w:val="00B460A9"/>
    <w:rsid w:val="00B4642E"/>
    <w:rsid w:val="00B4729B"/>
    <w:rsid w:val="00B47460"/>
    <w:rsid w:val="00B504A2"/>
    <w:rsid w:val="00B50D6B"/>
    <w:rsid w:val="00B5110E"/>
    <w:rsid w:val="00B534D5"/>
    <w:rsid w:val="00B536E6"/>
    <w:rsid w:val="00B54876"/>
    <w:rsid w:val="00B553A8"/>
    <w:rsid w:val="00B56945"/>
    <w:rsid w:val="00B57E21"/>
    <w:rsid w:val="00B610C2"/>
    <w:rsid w:val="00B61B6F"/>
    <w:rsid w:val="00B61D29"/>
    <w:rsid w:val="00B62F6C"/>
    <w:rsid w:val="00B634F2"/>
    <w:rsid w:val="00B64955"/>
    <w:rsid w:val="00B65F11"/>
    <w:rsid w:val="00B66FC4"/>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07F"/>
    <w:rsid w:val="00B97031"/>
    <w:rsid w:val="00BA01DD"/>
    <w:rsid w:val="00BA08E0"/>
    <w:rsid w:val="00BA118E"/>
    <w:rsid w:val="00BA1D39"/>
    <w:rsid w:val="00BA3247"/>
    <w:rsid w:val="00BA366E"/>
    <w:rsid w:val="00BA4481"/>
    <w:rsid w:val="00BA49FE"/>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EAE"/>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596"/>
    <w:rsid w:val="00BF5C7E"/>
    <w:rsid w:val="00BF5CAB"/>
    <w:rsid w:val="00BF6293"/>
    <w:rsid w:val="00BF6E4C"/>
    <w:rsid w:val="00BF71E9"/>
    <w:rsid w:val="00BF71F1"/>
    <w:rsid w:val="00BF76DF"/>
    <w:rsid w:val="00BF7CB5"/>
    <w:rsid w:val="00C01031"/>
    <w:rsid w:val="00C01384"/>
    <w:rsid w:val="00C01AF9"/>
    <w:rsid w:val="00C0274C"/>
    <w:rsid w:val="00C02F33"/>
    <w:rsid w:val="00C05E87"/>
    <w:rsid w:val="00C1090B"/>
    <w:rsid w:val="00C10DD0"/>
    <w:rsid w:val="00C13017"/>
    <w:rsid w:val="00C13FBE"/>
    <w:rsid w:val="00C141CA"/>
    <w:rsid w:val="00C1460D"/>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0BD"/>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786"/>
    <w:rsid w:val="00CA0DAE"/>
    <w:rsid w:val="00CA0E49"/>
    <w:rsid w:val="00CA0E63"/>
    <w:rsid w:val="00CA1535"/>
    <w:rsid w:val="00CA5087"/>
    <w:rsid w:val="00CA58EE"/>
    <w:rsid w:val="00CA7EEF"/>
    <w:rsid w:val="00CB1649"/>
    <w:rsid w:val="00CB179D"/>
    <w:rsid w:val="00CB3E5E"/>
    <w:rsid w:val="00CB4648"/>
    <w:rsid w:val="00CB4EBD"/>
    <w:rsid w:val="00CB6338"/>
    <w:rsid w:val="00CB76AA"/>
    <w:rsid w:val="00CB790E"/>
    <w:rsid w:val="00CC1407"/>
    <w:rsid w:val="00CC37A3"/>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2776"/>
    <w:rsid w:val="00CE46AE"/>
    <w:rsid w:val="00CE6394"/>
    <w:rsid w:val="00CF01F9"/>
    <w:rsid w:val="00CF0A09"/>
    <w:rsid w:val="00CF12B7"/>
    <w:rsid w:val="00CF2E7C"/>
    <w:rsid w:val="00CF3188"/>
    <w:rsid w:val="00CF31E5"/>
    <w:rsid w:val="00CF3B95"/>
    <w:rsid w:val="00CF4338"/>
    <w:rsid w:val="00CF5268"/>
    <w:rsid w:val="00CF52CE"/>
    <w:rsid w:val="00CF57A6"/>
    <w:rsid w:val="00CF5976"/>
    <w:rsid w:val="00CF5D92"/>
    <w:rsid w:val="00D004AD"/>
    <w:rsid w:val="00D01B92"/>
    <w:rsid w:val="00D02935"/>
    <w:rsid w:val="00D02C80"/>
    <w:rsid w:val="00D02FA1"/>
    <w:rsid w:val="00D03F30"/>
    <w:rsid w:val="00D056E9"/>
    <w:rsid w:val="00D05990"/>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49D"/>
    <w:rsid w:val="00D33DB2"/>
    <w:rsid w:val="00D33DE7"/>
    <w:rsid w:val="00D348BC"/>
    <w:rsid w:val="00D348C6"/>
    <w:rsid w:val="00D34C6E"/>
    <w:rsid w:val="00D405E6"/>
    <w:rsid w:val="00D417D4"/>
    <w:rsid w:val="00D43237"/>
    <w:rsid w:val="00D4323A"/>
    <w:rsid w:val="00D442ED"/>
    <w:rsid w:val="00D44C0E"/>
    <w:rsid w:val="00D46116"/>
    <w:rsid w:val="00D46297"/>
    <w:rsid w:val="00D4693D"/>
    <w:rsid w:val="00D46B07"/>
    <w:rsid w:val="00D46D51"/>
    <w:rsid w:val="00D47404"/>
    <w:rsid w:val="00D510DA"/>
    <w:rsid w:val="00D53F8D"/>
    <w:rsid w:val="00D547E6"/>
    <w:rsid w:val="00D56EA7"/>
    <w:rsid w:val="00D57AD5"/>
    <w:rsid w:val="00D6003F"/>
    <w:rsid w:val="00D60275"/>
    <w:rsid w:val="00D637B2"/>
    <w:rsid w:val="00D6386F"/>
    <w:rsid w:val="00D66DDD"/>
    <w:rsid w:val="00D67A6E"/>
    <w:rsid w:val="00D67EB7"/>
    <w:rsid w:val="00D70367"/>
    <w:rsid w:val="00D71C8D"/>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F68"/>
    <w:rsid w:val="00DC7CFF"/>
    <w:rsid w:val="00DC7EFD"/>
    <w:rsid w:val="00DD090B"/>
    <w:rsid w:val="00DD0B46"/>
    <w:rsid w:val="00DD15AE"/>
    <w:rsid w:val="00DD292A"/>
    <w:rsid w:val="00DD3144"/>
    <w:rsid w:val="00DD35ED"/>
    <w:rsid w:val="00DD3B33"/>
    <w:rsid w:val="00DD4AEB"/>
    <w:rsid w:val="00DD694D"/>
    <w:rsid w:val="00DD72BD"/>
    <w:rsid w:val="00DD761B"/>
    <w:rsid w:val="00DE0079"/>
    <w:rsid w:val="00DE0517"/>
    <w:rsid w:val="00DE0E4A"/>
    <w:rsid w:val="00DE11DA"/>
    <w:rsid w:val="00DE2751"/>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EE0"/>
    <w:rsid w:val="00E15F51"/>
    <w:rsid w:val="00E16934"/>
    <w:rsid w:val="00E17530"/>
    <w:rsid w:val="00E17A58"/>
    <w:rsid w:val="00E17BB9"/>
    <w:rsid w:val="00E20574"/>
    <w:rsid w:val="00E2059C"/>
    <w:rsid w:val="00E2063A"/>
    <w:rsid w:val="00E20EF2"/>
    <w:rsid w:val="00E224C8"/>
    <w:rsid w:val="00E22E72"/>
    <w:rsid w:val="00E23F7B"/>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E37"/>
    <w:rsid w:val="00E43229"/>
    <w:rsid w:val="00E454C9"/>
    <w:rsid w:val="00E50761"/>
    <w:rsid w:val="00E509D9"/>
    <w:rsid w:val="00E50B13"/>
    <w:rsid w:val="00E514A8"/>
    <w:rsid w:val="00E51B16"/>
    <w:rsid w:val="00E53850"/>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B63"/>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BBB"/>
    <w:rsid w:val="00EA38F1"/>
    <w:rsid w:val="00EA4912"/>
    <w:rsid w:val="00EA4E12"/>
    <w:rsid w:val="00EA5D38"/>
    <w:rsid w:val="00EA65D9"/>
    <w:rsid w:val="00EA67B3"/>
    <w:rsid w:val="00EA6FD0"/>
    <w:rsid w:val="00EA734B"/>
    <w:rsid w:val="00EA7A7E"/>
    <w:rsid w:val="00EB2081"/>
    <w:rsid w:val="00EB2852"/>
    <w:rsid w:val="00EB2E05"/>
    <w:rsid w:val="00EB348F"/>
    <w:rsid w:val="00EB39B5"/>
    <w:rsid w:val="00EB55BA"/>
    <w:rsid w:val="00EB7652"/>
    <w:rsid w:val="00EB7AF0"/>
    <w:rsid w:val="00EB7FED"/>
    <w:rsid w:val="00EC0583"/>
    <w:rsid w:val="00EC0612"/>
    <w:rsid w:val="00EC079D"/>
    <w:rsid w:val="00EC0AB2"/>
    <w:rsid w:val="00EC0EFC"/>
    <w:rsid w:val="00EC24B4"/>
    <w:rsid w:val="00EC2AE7"/>
    <w:rsid w:val="00EC2EDF"/>
    <w:rsid w:val="00EC42A1"/>
    <w:rsid w:val="00EC523C"/>
    <w:rsid w:val="00EC675B"/>
    <w:rsid w:val="00EC7098"/>
    <w:rsid w:val="00ED095F"/>
    <w:rsid w:val="00ED34A7"/>
    <w:rsid w:val="00ED6FE1"/>
    <w:rsid w:val="00ED7793"/>
    <w:rsid w:val="00ED77B0"/>
    <w:rsid w:val="00ED7E12"/>
    <w:rsid w:val="00EE04F1"/>
    <w:rsid w:val="00EE07D1"/>
    <w:rsid w:val="00EE23B3"/>
    <w:rsid w:val="00EE5475"/>
    <w:rsid w:val="00EE7415"/>
    <w:rsid w:val="00EF0934"/>
    <w:rsid w:val="00EF1A36"/>
    <w:rsid w:val="00EF277D"/>
    <w:rsid w:val="00EF350D"/>
    <w:rsid w:val="00EF41A5"/>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C11"/>
    <w:rsid w:val="00F2552D"/>
    <w:rsid w:val="00F257CF"/>
    <w:rsid w:val="00F25A00"/>
    <w:rsid w:val="00F25D48"/>
    <w:rsid w:val="00F26296"/>
    <w:rsid w:val="00F26DE2"/>
    <w:rsid w:val="00F270E9"/>
    <w:rsid w:val="00F276B3"/>
    <w:rsid w:val="00F27809"/>
    <w:rsid w:val="00F27947"/>
    <w:rsid w:val="00F27DD5"/>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D92"/>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87"/>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25F"/>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6AA"/>
    <w:rsid w:val="00FE4FA5"/>
    <w:rsid w:val="00FE546E"/>
    <w:rsid w:val="00FE6453"/>
    <w:rsid w:val="00FE66B1"/>
    <w:rsid w:val="00FE7713"/>
    <w:rsid w:val="00FE7C66"/>
    <w:rsid w:val="00FE7D7C"/>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1F247D5"/>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67A579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0705D23"/>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70D427"/>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82222A"/>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2CAF7E3E-F7DE-42FB-A5DF-5AA394C77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437094">
      <w:bodyDiv w:val="1"/>
      <w:marLeft w:val="0"/>
      <w:marRight w:val="0"/>
      <w:marTop w:val="0"/>
      <w:marBottom w:val="0"/>
      <w:divBdr>
        <w:top w:val="none" w:sz="0" w:space="0" w:color="auto"/>
        <w:left w:val="none" w:sz="0" w:space="0" w:color="auto"/>
        <w:bottom w:val="none" w:sz="0" w:space="0" w:color="auto"/>
        <w:right w:val="none" w:sz="0" w:space="0" w:color="auto"/>
      </w:divBdr>
    </w:div>
    <w:div w:id="94718275">
      <w:bodyDiv w:val="1"/>
      <w:marLeft w:val="0"/>
      <w:marRight w:val="0"/>
      <w:marTop w:val="0"/>
      <w:marBottom w:val="0"/>
      <w:divBdr>
        <w:top w:val="none" w:sz="0" w:space="0" w:color="auto"/>
        <w:left w:val="none" w:sz="0" w:space="0" w:color="auto"/>
        <w:bottom w:val="none" w:sz="0" w:space="0" w:color="auto"/>
        <w:right w:val="none" w:sz="0" w:space="0" w:color="auto"/>
      </w:divBdr>
    </w:div>
    <w:div w:id="296226031">
      <w:bodyDiv w:val="1"/>
      <w:marLeft w:val="0"/>
      <w:marRight w:val="0"/>
      <w:marTop w:val="0"/>
      <w:marBottom w:val="0"/>
      <w:divBdr>
        <w:top w:val="none" w:sz="0" w:space="0" w:color="auto"/>
        <w:left w:val="none" w:sz="0" w:space="0" w:color="auto"/>
        <w:bottom w:val="none" w:sz="0" w:space="0" w:color="auto"/>
        <w:right w:val="none" w:sz="0" w:space="0" w:color="auto"/>
      </w:divBdr>
    </w:div>
    <w:div w:id="381638612">
      <w:bodyDiv w:val="1"/>
      <w:marLeft w:val="0"/>
      <w:marRight w:val="0"/>
      <w:marTop w:val="0"/>
      <w:marBottom w:val="0"/>
      <w:divBdr>
        <w:top w:val="none" w:sz="0" w:space="0" w:color="auto"/>
        <w:left w:val="none" w:sz="0" w:space="0" w:color="auto"/>
        <w:bottom w:val="none" w:sz="0" w:space="0" w:color="auto"/>
        <w:right w:val="none" w:sz="0" w:space="0" w:color="auto"/>
      </w:divBdr>
    </w:div>
    <w:div w:id="516310231">
      <w:bodyDiv w:val="1"/>
      <w:marLeft w:val="0"/>
      <w:marRight w:val="0"/>
      <w:marTop w:val="0"/>
      <w:marBottom w:val="0"/>
      <w:divBdr>
        <w:top w:val="none" w:sz="0" w:space="0" w:color="auto"/>
        <w:left w:val="none" w:sz="0" w:space="0" w:color="auto"/>
        <w:bottom w:val="none" w:sz="0" w:space="0" w:color="auto"/>
        <w:right w:val="none" w:sz="0" w:space="0" w:color="auto"/>
      </w:divBdr>
    </w:div>
    <w:div w:id="54618431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883236">
      <w:bodyDiv w:val="1"/>
      <w:marLeft w:val="0"/>
      <w:marRight w:val="0"/>
      <w:marTop w:val="0"/>
      <w:marBottom w:val="0"/>
      <w:divBdr>
        <w:top w:val="none" w:sz="0" w:space="0" w:color="auto"/>
        <w:left w:val="none" w:sz="0" w:space="0" w:color="auto"/>
        <w:bottom w:val="none" w:sz="0" w:space="0" w:color="auto"/>
        <w:right w:val="none" w:sz="0" w:space="0" w:color="auto"/>
      </w:divBdr>
    </w:div>
    <w:div w:id="91108688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682970">
      <w:bodyDiv w:val="1"/>
      <w:marLeft w:val="0"/>
      <w:marRight w:val="0"/>
      <w:marTop w:val="0"/>
      <w:marBottom w:val="0"/>
      <w:divBdr>
        <w:top w:val="none" w:sz="0" w:space="0" w:color="auto"/>
        <w:left w:val="none" w:sz="0" w:space="0" w:color="auto"/>
        <w:bottom w:val="none" w:sz="0" w:space="0" w:color="auto"/>
        <w:right w:val="none" w:sz="0" w:space="0" w:color="auto"/>
      </w:divBdr>
    </w:div>
    <w:div w:id="1645815113">
      <w:bodyDiv w:val="1"/>
      <w:marLeft w:val="0"/>
      <w:marRight w:val="0"/>
      <w:marTop w:val="0"/>
      <w:marBottom w:val="0"/>
      <w:divBdr>
        <w:top w:val="none" w:sz="0" w:space="0" w:color="auto"/>
        <w:left w:val="none" w:sz="0" w:space="0" w:color="auto"/>
        <w:bottom w:val="none" w:sz="0" w:space="0" w:color="auto"/>
        <w:right w:val="none" w:sz="0" w:space="0" w:color="auto"/>
      </w:divBdr>
    </w:div>
    <w:div w:id="1668285634">
      <w:bodyDiv w:val="1"/>
      <w:marLeft w:val="0"/>
      <w:marRight w:val="0"/>
      <w:marTop w:val="0"/>
      <w:marBottom w:val="0"/>
      <w:divBdr>
        <w:top w:val="none" w:sz="0" w:space="0" w:color="auto"/>
        <w:left w:val="none" w:sz="0" w:space="0" w:color="auto"/>
        <w:bottom w:val="none" w:sz="0" w:space="0" w:color="auto"/>
        <w:right w:val="none" w:sz="0" w:space="0" w:color="auto"/>
      </w:divBdr>
    </w:div>
    <w:div w:id="1725105760">
      <w:bodyDiv w:val="1"/>
      <w:marLeft w:val="0"/>
      <w:marRight w:val="0"/>
      <w:marTop w:val="0"/>
      <w:marBottom w:val="0"/>
      <w:divBdr>
        <w:top w:val="none" w:sz="0" w:space="0" w:color="auto"/>
        <w:left w:val="none" w:sz="0" w:space="0" w:color="auto"/>
        <w:bottom w:val="none" w:sz="0" w:space="0" w:color="auto"/>
        <w:right w:val="none" w:sz="0" w:space="0" w:color="auto"/>
      </w:divBdr>
    </w:div>
    <w:div w:id="1782064430">
      <w:bodyDiv w:val="1"/>
      <w:marLeft w:val="0"/>
      <w:marRight w:val="0"/>
      <w:marTop w:val="0"/>
      <w:marBottom w:val="0"/>
      <w:divBdr>
        <w:top w:val="none" w:sz="0" w:space="0" w:color="auto"/>
        <w:left w:val="none" w:sz="0" w:space="0" w:color="auto"/>
        <w:bottom w:val="none" w:sz="0" w:space="0" w:color="auto"/>
        <w:right w:val="none" w:sz="0" w:space="0" w:color="auto"/>
      </w:divBdr>
    </w:div>
    <w:div w:id="181058532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8551414">
      <w:bodyDiv w:val="1"/>
      <w:marLeft w:val="0"/>
      <w:marRight w:val="0"/>
      <w:marTop w:val="0"/>
      <w:marBottom w:val="0"/>
      <w:divBdr>
        <w:top w:val="none" w:sz="0" w:space="0" w:color="auto"/>
        <w:left w:val="none" w:sz="0" w:space="0" w:color="auto"/>
        <w:bottom w:val="none" w:sz="0" w:space="0" w:color="auto"/>
        <w:right w:val="none" w:sz="0" w:space="0" w:color="auto"/>
      </w:divBdr>
    </w:div>
    <w:div w:id="193895062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3122919/https://www.pib.gov.in/PressReleasePage.aspx?PRID=1994243"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22832/https://shipmin.gov.in/sites/default/files/harit.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94</Pages>
  <Words>22606</Words>
  <Characters>128860</Characters>
  <Application>Microsoft Office Word</Application>
  <DocSecurity>0</DocSecurity>
  <Lines>1073</Lines>
  <Paragraphs>302</Paragraphs>
  <ScaleCrop>false</ScaleCrop>
  <Company/>
  <LinksUpToDate>false</LinksUpToDate>
  <CharactersWithSpaces>151164</CharactersWithSpaces>
  <SharedDoc>false</SharedDoc>
  <HLinks>
    <vt:vector size="348" baseType="variant">
      <vt:variant>
        <vt:i4>4784199</vt:i4>
      </vt:variant>
      <vt:variant>
        <vt:i4>333</vt:i4>
      </vt:variant>
      <vt:variant>
        <vt:i4>0</vt:i4>
      </vt:variant>
      <vt:variant>
        <vt:i4>5</vt:i4>
      </vt:variant>
      <vt:variant>
        <vt:lpwstr>https://www.fsb.org/uploads/P131022-1.pdf</vt:lpwstr>
      </vt:variant>
      <vt:variant>
        <vt:lpwstr/>
      </vt:variant>
      <vt:variant>
        <vt:i4>7012469</vt:i4>
      </vt:variant>
      <vt:variant>
        <vt:i4>330</vt:i4>
      </vt:variant>
      <vt:variant>
        <vt:i4>0</vt:i4>
      </vt:variant>
      <vt:variant>
        <vt:i4>5</vt:i4>
      </vt:variant>
      <vt:variant>
        <vt:lpwstr>https://www.bis.org/fsi/fsibriefs18.pdf</vt:lpwstr>
      </vt:variant>
      <vt:variant>
        <vt:lpwstr/>
      </vt:variant>
      <vt:variant>
        <vt:i4>1376291</vt:i4>
      </vt:variant>
      <vt:variant>
        <vt:i4>327</vt:i4>
      </vt:variant>
      <vt:variant>
        <vt:i4>0</vt:i4>
      </vt:variant>
      <vt:variant>
        <vt:i4>5</vt:i4>
      </vt:variant>
      <vt:variant>
        <vt:lpwstr/>
      </vt:variant>
      <vt:variant>
        <vt:lpwstr>_Section_5.2.3:_Capital</vt:lpwstr>
      </vt:variant>
      <vt:variant>
        <vt:i4>7143514</vt:i4>
      </vt:variant>
      <vt:variant>
        <vt:i4>324</vt:i4>
      </vt:variant>
      <vt:variant>
        <vt:i4>0</vt:i4>
      </vt:variant>
      <vt:variant>
        <vt:i4>5</vt:i4>
      </vt:variant>
      <vt:variant>
        <vt:lpwstr/>
      </vt:variant>
      <vt:variant>
        <vt:lpwstr>_Section_5.2.2:_Scenario</vt:lpwstr>
      </vt:variant>
      <vt:variant>
        <vt:i4>8126533</vt:i4>
      </vt:variant>
      <vt:variant>
        <vt:i4>321</vt:i4>
      </vt:variant>
      <vt:variant>
        <vt:i4>0</vt:i4>
      </vt:variant>
      <vt:variant>
        <vt:i4>5</vt:i4>
      </vt:variant>
      <vt:variant>
        <vt:lpwstr/>
      </vt:variant>
      <vt:variant>
        <vt:lpwstr>_Section_5.2.1:_Risk</vt:lpwstr>
      </vt:variant>
      <vt:variant>
        <vt:i4>6750276</vt:i4>
      </vt:variant>
      <vt:variant>
        <vt:i4>318</vt:i4>
      </vt:variant>
      <vt:variant>
        <vt:i4>0</vt:i4>
      </vt:variant>
      <vt:variant>
        <vt:i4>5</vt:i4>
      </vt:variant>
      <vt:variant>
        <vt:lpwstr/>
      </vt:variant>
      <vt:variant>
        <vt:lpwstr>_Section_4.4.4:_Exchange</vt:lpwstr>
      </vt:variant>
      <vt:variant>
        <vt:i4>6553680</vt:i4>
      </vt:variant>
      <vt:variant>
        <vt:i4>315</vt:i4>
      </vt:variant>
      <vt:variant>
        <vt:i4>0</vt:i4>
      </vt:variant>
      <vt:variant>
        <vt:i4>5</vt:i4>
      </vt:variant>
      <vt:variant>
        <vt:lpwstr/>
      </vt:variant>
      <vt:variant>
        <vt:lpwstr>_Section_4.4.3:_Operationalizing</vt:lpwstr>
      </vt:variant>
      <vt:variant>
        <vt:i4>1507386</vt:i4>
      </vt:variant>
      <vt:variant>
        <vt:i4>312</vt:i4>
      </vt:variant>
      <vt:variant>
        <vt:i4>0</vt:i4>
      </vt:variant>
      <vt:variant>
        <vt:i4>5</vt:i4>
      </vt:variant>
      <vt:variant>
        <vt:lpwstr/>
      </vt:variant>
      <vt:variant>
        <vt:lpwstr>_Section_4.4.2:_Carbon</vt:lpwstr>
      </vt:variant>
      <vt:variant>
        <vt:i4>7077954</vt:i4>
      </vt:variant>
      <vt:variant>
        <vt:i4>309</vt:i4>
      </vt:variant>
      <vt:variant>
        <vt:i4>0</vt:i4>
      </vt:variant>
      <vt:variant>
        <vt:i4>5</vt:i4>
      </vt:variant>
      <vt:variant>
        <vt:lpwstr/>
      </vt:variant>
      <vt:variant>
        <vt:lpwstr>_Section_4.4.1:_Criteria</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74</cp:revision>
  <cp:lastPrinted>2025-03-21T12:44:00Z</cp:lastPrinted>
  <dcterms:created xsi:type="dcterms:W3CDTF">2025-07-04T17:52:00Z</dcterms:created>
  <dcterms:modified xsi:type="dcterms:W3CDTF">2025-07-08T16:03:00Z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